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1000F" w14:textId="3ABEC463" w:rsidR="00551958" w:rsidRPr="00676813" w:rsidRDefault="001B6A19" w:rsidP="008510E2">
      <w:pPr>
        <w:pStyle w:val="StyleHeading1Centered"/>
        <w:tabs>
          <w:tab w:val="num" w:pos="720"/>
        </w:tabs>
        <w:spacing w:after="600"/>
        <w:rPr>
          <w:lang w:val="en-GB"/>
        </w:rPr>
      </w:pPr>
      <w:r>
        <w:rPr>
          <w:lang w:val="en-GB"/>
        </w:rPr>
        <w:t xml:space="preserve">Chapter </w:t>
      </w:r>
      <w:r w:rsidR="00347080">
        <w:rPr>
          <w:lang w:val="en-GB"/>
        </w:rPr>
        <w:t>4</w:t>
      </w:r>
      <w:r w:rsidR="00002822">
        <w:rPr>
          <w:lang w:val="en-GB"/>
        </w:rPr>
        <w:t>b</w:t>
      </w:r>
      <w:r>
        <w:rPr>
          <w:lang w:val="en-GB"/>
        </w:rPr>
        <w:t>:</w:t>
      </w:r>
      <w:r w:rsidR="00551958" w:rsidRPr="00676813">
        <w:rPr>
          <w:lang w:val="en-GB"/>
        </w:rPr>
        <w:t xml:space="preserve"> Data Sources and data collection</w:t>
      </w:r>
    </w:p>
    <w:p w14:paraId="171C45F3" w14:textId="77777777" w:rsidR="00551958" w:rsidRPr="00676813" w:rsidRDefault="00551958" w:rsidP="00551958">
      <w:pPr>
        <w:pStyle w:val="ListParagraph"/>
        <w:numPr>
          <w:ilvl w:val="0"/>
          <w:numId w:val="1"/>
        </w:numPr>
      </w:pPr>
      <w:r w:rsidRPr="00676813">
        <w:t>Introduction</w:t>
      </w:r>
    </w:p>
    <w:p w14:paraId="32B4308D" w14:textId="77777777" w:rsidR="00551958" w:rsidRPr="00676813" w:rsidRDefault="00551958" w:rsidP="00551958">
      <w:pPr>
        <w:pStyle w:val="ListParagraph"/>
        <w:numPr>
          <w:ilvl w:val="0"/>
          <w:numId w:val="1"/>
        </w:numPr>
      </w:pPr>
      <w:r w:rsidRPr="00676813">
        <w:t>Data sources</w:t>
      </w:r>
      <w:r w:rsidR="00B44159">
        <w:t xml:space="preserve"> and data collection </w:t>
      </w:r>
    </w:p>
    <w:p w14:paraId="45B770AE" w14:textId="77777777" w:rsidR="000C67B5" w:rsidRPr="00676813" w:rsidRDefault="000C67B5" w:rsidP="000C67B5">
      <w:pPr>
        <w:pStyle w:val="ListParagraph"/>
        <w:numPr>
          <w:ilvl w:val="1"/>
          <w:numId w:val="1"/>
        </w:numPr>
        <w:ind w:left="993"/>
      </w:pPr>
      <w:r w:rsidRPr="00676813">
        <w:t>Administrative sources</w:t>
      </w:r>
    </w:p>
    <w:p w14:paraId="296AACC9" w14:textId="77777777" w:rsidR="00551958" w:rsidRPr="00676813" w:rsidRDefault="00551958" w:rsidP="00551958">
      <w:pPr>
        <w:pStyle w:val="ListParagraph"/>
        <w:numPr>
          <w:ilvl w:val="1"/>
          <w:numId w:val="1"/>
        </w:numPr>
        <w:ind w:left="993"/>
      </w:pPr>
      <w:r w:rsidRPr="00676813">
        <w:t>Surveys</w:t>
      </w:r>
    </w:p>
    <w:p w14:paraId="7C73723C" w14:textId="77777777" w:rsidR="00C83DAE" w:rsidRPr="00676813" w:rsidRDefault="00C83DAE" w:rsidP="00551958">
      <w:pPr>
        <w:pStyle w:val="ListParagraph"/>
        <w:numPr>
          <w:ilvl w:val="1"/>
          <w:numId w:val="1"/>
        </w:numPr>
        <w:ind w:left="993"/>
      </w:pPr>
      <w:r w:rsidRPr="00676813">
        <w:t>Modelling</w:t>
      </w:r>
    </w:p>
    <w:p w14:paraId="32453F83" w14:textId="1F6634E0" w:rsidR="00F72C88" w:rsidRDefault="0052045A" w:rsidP="00D67B99">
      <w:pPr>
        <w:pStyle w:val="ListParagraph"/>
        <w:numPr>
          <w:ilvl w:val="1"/>
          <w:numId w:val="1"/>
        </w:numPr>
        <w:ind w:left="993"/>
      </w:pPr>
      <w:r w:rsidRPr="00676813">
        <w:t>In situ measurements</w:t>
      </w:r>
    </w:p>
    <w:p w14:paraId="25A24CBF" w14:textId="77777777" w:rsidR="00F17786" w:rsidRPr="00676813" w:rsidRDefault="0052045A" w:rsidP="00D67B99">
      <w:pPr>
        <w:pStyle w:val="ListParagraph"/>
        <w:numPr>
          <w:ilvl w:val="1"/>
          <w:numId w:val="1"/>
        </w:numPr>
        <w:ind w:left="993"/>
      </w:pPr>
      <w:r w:rsidRPr="00676813">
        <w:t xml:space="preserve">Multipurpose approaches </w:t>
      </w:r>
    </w:p>
    <w:p w14:paraId="5E671227" w14:textId="77777777" w:rsidR="000E7567" w:rsidRPr="00676813" w:rsidRDefault="000E7567" w:rsidP="00F17786"/>
    <w:p w14:paraId="3330490C" w14:textId="77777777" w:rsidR="00551958" w:rsidRPr="00676813" w:rsidRDefault="00551958" w:rsidP="00551958">
      <w:pPr>
        <w:pStyle w:val="Heading2"/>
        <w:numPr>
          <w:ilvl w:val="0"/>
          <w:numId w:val="2"/>
        </w:numPr>
        <w:ind w:left="426" w:hanging="426"/>
        <w:rPr>
          <w:lang w:val="en-GB"/>
        </w:rPr>
      </w:pPr>
      <w:r w:rsidRPr="00676813">
        <w:rPr>
          <w:lang w:val="en-GB"/>
        </w:rPr>
        <w:t>Introduction</w:t>
      </w:r>
    </w:p>
    <w:p w14:paraId="5E6F13E5" w14:textId="1A4C248F" w:rsidR="00F17786" w:rsidRDefault="00F17786" w:rsidP="00551958">
      <w:pPr>
        <w:jc w:val="both"/>
      </w:pPr>
      <w:r>
        <w:t>The aim of this chapter is to provide examples of typical data collection methods used for energy statistics.</w:t>
      </w:r>
      <w:r w:rsidR="00EE7521">
        <w:t xml:space="preserve"> </w:t>
      </w:r>
      <w:r>
        <w:t>The choice of the specific data collection method to use depends o</w:t>
      </w:r>
      <w:r w:rsidR="00C0176E">
        <w:t xml:space="preserve">n a number of factors including </w:t>
      </w:r>
      <w:r w:rsidR="00C0176E">
        <w:noBreakHyphen/>
      </w:r>
      <w:r>
        <w:t xml:space="preserve"> but not limited to</w:t>
      </w:r>
      <w:r w:rsidR="00C0176E">
        <w:t xml:space="preserve"> </w:t>
      </w:r>
      <w:r w:rsidR="00C0176E">
        <w:noBreakHyphen/>
      </w:r>
      <w:r>
        <w:t xml:space="preserve"> data availability, human and financial resources. </w:t>
      </w:r>
      <w:r w:rsidR="00EC7AB3">
        <w:t>T</w:t>
      </w:r>
      <w:r w:rsidR="00D93BFD">
        <w:t>he clear identification of what needs to be collected and what needs to be disseminated</w:t>
      </w:r>
      <w:r w:rsidR="00EC7AB3">
        <w:t>,</w:t>
      </w:r>
      <w:r w:rsidR="00D93BFD">
        <w:t xml:space="preserve"> and the review of the necessary methodological concepts (together with the consistency with international and national standards) are important elements that lead to the choice of the data collection method</w:t>
      </w:r>
      <w:r w:rsidR="0084393D">
        <w:t>s</w:t>
      </w:r>
      <w:r w:rsidR="00D93BFD">
        <w:t xml:space="preserve"> and instrument</w:t>
      </w:r>
      <w:r w:rsidR="0084393D">
        <w:t>s</w:t>
      </w:r>
      <w:r w:rsidR="00D93BFD">
        <w:t xml:space="preserve"> that best fit the purpose.</w:t>
      </w:r>
    </w:p>
    <w:p w14:paraId="665B1D6B" w14:textId="29ADBC01" w:rsidR="000703AE" w:rsidRDefault="00C0176E" w:rsidP="00551958">
      <w:pPr>
        <w:jc w:val="both"/>
      </w:pPr>
      <w:r>
        <w:t>The actual choice of the data collection method is specific to the national situation</w:t>
      </w:r>
      <w:r w:rsidR="00FF0572">
        <w:t>.</w:t>
      </w:r>
      <w:r w:rsidR="00EE7521">
        <w:t xml:space="preserve"> </w:t>
      </w:r>
      <w:r w:rsidR="00FF0572">
        <w:t xml:space="preserve">A review of the data already available in the country </w:t>
      </w:r>
      <w:r w:rsidR="008332D3">
        <w:t>(whether or not in the same institution or in other institutions in the country) is often a first step.</w:t>
      </w:r>
      <w:r w:rsidR="00EE7521">
        <w:t xml:space="preserve"> </w:t>
      </w:r>
      <w:r w:rsidR="000703AE">
        <w:t>I</w:t>
      </w:r>
      <w:r w:rsidR="00551958" w:rsidRPr="00676813">
        <w:t xml:space="preserve">f data </w:t>
      </w:r>
      <w:r w:rsidR="000703AE">
        <w:t xml:space="preserve">are already </w:t>
      </w:r>
      <w:r w:rsidR="00551958" w:rsidRPr="00676813">
        <w:t xml:space="preserve">available </w:t>
      </w:r>
      <w:r w:rsidR="000703AE">
        <w:t xml:space="preserve">and </w:t>
      </w:r>
      <w:r w:rsidR="00551958" w:rsidRPr="00676813">
        <w:t xml:space="preserve">can be used </w:t>
      </w:r>
      <w:r w:rsidR="000703AE">
        <w:t xml:space="preserve">for energy statistics, there is little justification to embark </w:t>
      </w:r>
      <w:r w:rsidR="00385975">
        <w:t xml:space="preserve">on </w:t>
      </w:r>
      <w:r w:rsidR="000703AE">
        <w:t>a new data collection. It is important however to have information on how the data are collected</w:t>
      </w:r>
      <w:r w:rsidR="00221D26">
        <w:t xml:space="preserve"> (e.g. administrative data or existing statistical surveys)</w:t>
      </w:r>
      <w:r w:rsidR="000703AE">
        <w:t xml:space="preserve"> as it </w:t>
      </w:r>
      <w:r w:rsidR="00BE45A9">
        <w:t>affect</w:t>
      </w:r>
      <w:r w:rsidR="00385975">
        <w:t>s</w:t>
      </w:r>
      <w:r w:rsidR="00BE45A9">
        <w:t xml:space="preserve"> the fit to use for statistical purposes.</w:t>
      </w:r>
      <w:r w:rsidR="00EE7521">
        <w:t xml:space="preserve"> </w:t>
      </w:r>
    </w:p>
    <w:p w14:paraId="50847AEB" w14:textId="333C8BD3" w:rsidR="00551958" w:rsidRPr="00676813" w:rsidRDefault="00551958" w:rsidP="00551958">
      <w:pPr>
        <w:jc w:val="both"/>
      </w:pPr>
      <w:r w:rsidRPr="00676813">
        <w:t xml:space="preserve">Classical </w:t>
      </w:r>
      <w:r w:rsidR="000703AE">
        <w:t xml:space="preserve">examples include the </w:t>
      </w:r>
      <w:r w:rsidR="00221D26">
        <w:t xml:space="preserve">use of administrative </w:t>
      </w:r>
      <w:r w:rsidR="000703AE">
        <w:t>data from</w:t>
      </w:r>
      <w:r w:rsidRPr="00676813">
        <w:t xml:space="preserve"> public or private registers or data collected </w:t>
      </w:r>
      <w:r w:rsidR="00385975">
        <w:t xml:space="preserve">through </w:t>
      </w:r>
      <w:r w:rsidR="00DB3023">
        <w:t>an</w:t>
      </w:r>
      <w:r w:rsidRPr="00676813">
        <w:t xml:space="preserve"> </w:t>
      </w:r>
      <w:r w:rsidR="00DB3023">
        <w:t>existing</w:t>
      </w:r>
      <w:r w:rsidRPr="00676813">
        <w:t xml:space="preserve"> survey </w:t>
      </w:r>
      <w:r w:rsidR="00DB3023">
        <w:t xml:space="preserve">designed </w:t>
      </w:r>
      <w:r w:rsidRPr="00676813">
        <w:t xml:space="preserve">for different purposes. </w:t>
      </w:r>
      <w:proofErr w:type="gramStart"/>
      <w:r w:rsidR="00DB3023" w:rsidRPr="00676813">
        <w:t xml:space="preserve">A typical example </w:t>
      </w:r>
      <w:r w:rsidR="00DB3023">
        <w:t xml:space="preserve">of the latter </w:t>
      </w:r>
      <w:r w:rsidR="00385975">
        <w:t>are</w:t>
      </w:r>
      <w:proofErr w:type="gramEnd"/>
      <w:r w:rsidR="00385975">
        <w:t xml:space="preserve"> </w:t>
      </w:r>
      <w:r w:rsidRPr="00676813">
        <w:t xml:space="preserve">data on diesel consumption for agricultural purposes </w:t>
      </w:r>
      <w:r w:rsidR="00B92C9A">
        <w:t>that are</w:t>
      </w:r>
      <w:r w:rsidR="00DB3023">
        <w:t xml:space="preserve"> collected through</w:t>
      </w:r>
      <w:r w:rsidRPr="00676813">
        <w:t xml:space="preserve"> </w:t>
      </w:r>
      <w:r w:rsidR="00DB3023">
        <w:t xml:space="preserve">an existing </w:t>
      </w:r>
      <w:r w:rsidRPr="00676813">
        <w:t>agricultural statistics</w:t>
      </w:r>
      <w:r w:rsidR="00DB3023">
        <w:t xml:space="preserve"> survey</w:t>
      </w:r>
      <w:r w:rsidRPr="00676813">
        <w:t xml:space="preserve">. If this is the case, these data should be used in any way for several reasons </w:t>
      </w:r>
      <w:r w:rsidR="00136087">
        <w:t>such as</w:t>
      </w:r>
      <w:r w:rsidR="00136087" w:rsidRPr="00676813">
        <w:t xml:space="preserve"> </w:t>
      </w:r>
      <w:r w:rsidRPr="00676813">
        <w:t>resource saving or reduction of response burden.</w:t>
      </w:r>
    </w:p>
    <w:p w14:paraId="21E974AC" w14:textId="09122E16" w:rsidR="00A904D7" w:rsidRDefault="00551958" w:rsidP="00551958">
      <w:pPr>
        <w:jc w:val="both"/>
      </w:pPr>
      <w:r w:rsidRPr="00676813">
        <w:t xml:space="preserve">If </w:t>
      </w:r>
      <w:r w:rsidR="00DB3023">
        <w:t>no data are available in the country from other sources and a new data collection method has to be put in place</w:t>
      </w:r>
      <w:r w:rsidR="00882838">
        <w:t xml:space="preserve"> (whether adding questions to an existing survey or designing a new survey)</w:t>
      </w:r>
      <w:r w:rsidR="00DB3023">
        <w:t xml:space="preserve">, </w:t>
      </w:r>
      <w:r w:rsidR="00882838">
        <w:t xml:space="preserve">additional work needs to be carried out to identify the respondents and </w:t>
      </w:r>
      <w:r w:rsidRPr="00676813">
        <w:t xml:space="preserve">the </w:t>
      </w:r>
      <w:r w:rsidR="00921277">
        <w:t>needed</w:t>
      </w:r>
      <w:r w:rsidR="00921277" w:rsidRPr="00676813">
        <w:t xml:space="preserve"> </w:t>
      </w:r>
      <w:r w:rsidR="00882838">
        <w:t>human and financial resources.</w:t>
      </w:r>
      <w:r w:rsidR="00EE7521">
        <w:t xml:space="preserve"> </w:t>
      </w:r>
    </w:p>
    <w:p w14:paraId="2DF27494" w14:textId="2BAE7DA8" w:rsidR="00C0176E" w:rsidRDefault="00C0176E" w:rsidP="00C0176E">
      <w:pPr>
        <w:jc w:val="both"/>
      </w:pPr>
      <w:r>
        <w:t xml:space="preserve">This chapter </w:t>
      </w:r>
      <w:r w:rsidR="00CE1308">
        <w:t xml:space="preserve">focuses on the description of </w:t>
      </w:r>
      <w:r>
        <w:t>four types of data collection methods</w:t>
      </w:r>
      <w:r w:rsidR="00CE1308">
        <w:t xml:space="preserve"> typically used in energy statistics</w:t>
      </w:r>
      <w:r>
        <w:t xml:space="preserve">: administrative data, statistical surveys (censuses or sample surveys), </w:t>
      </w:r>
      <w:proofErr w:type="gramStart"/>
      <w:r>
        <w:t>modelling</w:t>
      </w:r>
      <w:proofErr w:type="gramEnd"/>
      <w:r>
        <w:t xml:space="preserve"> and in-situ measurements</w:t>
      </w:r>
      <w:r w:rsidR="00CE1308">
        <w:t>.</w:t>
      </w:r>
      <w:r w:rsidR="00EE7521">
        <w:t xml:space="preserve"> </w:t>
      </w:r>
      <w:r w:rsidR="00CE1308">
        <w:t xml:space="preserve">The chapter </w:t>
      </w:r>
      <w:r>
        <w:t>provides examples of typical data collection methods used for specific types of energy statistics (for example, trade, consumption, production etc.).</w:t>
      </w:r>
    </w:p>
    <w:p w14:paraId="496F1F51" w14:textId="77777777" w:rsidR="00CE1308" w:rsidRPr="00676813" w:rsidRDefault="00CE1308" w:rsidP="00CE1308">
      <w:pPr>
        <w:pStyle w:val="Heading2"/>
        <w:numPr>
          <w:ilvl w:val="0"/>
          <w:numId w:val="2"/>
        </w:numPr>
        <w:ind w:left="426" w:hanging="426"/>
        <w:rPr>
          <w:lang w:val="en-GB"/>
        </w:rPr>
      </w:pPr>
      <w:r>
        <w:rPr>
          <w:lang w:val="en-GB"/>
        </w:rPr>
        <w:t xml:space="preserve">Data </w:t>
      </w:r>
      <w:r w:rsidR="00076387">
        <w:rPr>
          <w:lang w:val="en-GB"/>
        </w:rPr>
        <w:t xml:space="preserve">sources and data collection </w:t>
      </w:r>
    </w:p>
    <w:p w14:paraId="7BD86280" w14:textId="551F151A" w:rsidR="002565DD" w:rsidRDefault="00C252B0" w:rsidP="00C0176E">
      <w:pPr>
        <w:jc w:val="both"/>
      </w:pPr>
      <w:r>
        <w:t xml:space="preserve">Four types of data sources and data collection methods are distinguished in this </w:t>
      </w:r>
      <w:r w:rsidR="00EE7521">
        <w:t>section – in</w:t>
      </w:r>
      <w:r>
        <w:t xml:space="preserve"> particular, </w:t>
      </w:r>
      <w:r w:rsidR="00675AAE">
        <w:t>a</w:t>
      </w:r>
      <w:r w:rsidR="00CF1D7A">
        <w:t xml:space="preserve">dministrative data, statistical surveys, </w:t>
      </w:r>
      <w:r w:rsidR="00675AAE">
        <w:t>m</w:t>
      </w:r>
      <w:r w:rsidR="00CF1D7A">
        <w:t xml:space="preserve">odelling and </w:t>
      </w:r>
      <w:r w:rsidR="00675AAE">
        <w:t>i</w:t>
      </w:r>
      <w:r w:rsidR="00CF1D7A">
        <w:t>n-situ measurements.</w:t>
      </w:r>
    </w:p>
    <w:p w14:paraId="3747CC60" w14:textId="74A702B2" w:rsidR="00CF1D7A" w:rsidRDefault="00CF1D7A" w:rsidP="00CF1D7A">
      <w:pPr>
        <w:jc w:val="both"/>
      </w:pPr>
      <w:r>
        <w:lastRenderedPageBreak/>
        <w:t xml:space="preserve">Administrative data refer to </w:t>
      </w:r>
      <w:r w:rsidRPr="00CF1D7A">
        <w:t>the set of data derived from an administrative source</w:t>
      </w:r>
      <w:r>
        <w:t xml:space="preserve">, that is </w:t>
      </w:r>
      <w:r w:rsidR="001B4B9A">
        <w:t xml:space="preserve">by an </w:t>
      </w:r>
      <w:r w:rsidR="00EE0CB1">
        <w:t>“</w:t>
      </w:r>
      <w:r>
        <w:t>organisational unit responsible for implementing an administrative regulation (or group of regulations), for which the corresponding register of units and the transactions are viewed as a source of statistical data</w:t>
      </w:r>
      <w:r w:rsidR="00EE7521">
        <w:t>”.</w:t>
      </w:r>
      <w:r w:rsidR="00CD76C1">
        <w:rPr>
          <w:rStyle w:val="FootnoteReference"/>
        </w:rPr>
        <w:footnoteReference w:id="1"/>
      </w:r>
    </w:p>
    <w:p w14:paraId="58784CB9" w14:textId="5FDCE4E6" w:rsidR="00CF1D7A" w:rsidRDefault="00CF1D7A" w:rsidP="00CF1D7A">
      <w:pPr>
        <w:jc w:val="both"/>
      </w:pPr>
      <w:r>
        <w:t>Statistical surveys refer</w:t>
      </w:r>
      <w:r w:rsidR="00EE0CB1">
        <w:t xml:space="preserve"> to both sample surveys and censuses.</w:t>
      </w:r>
      <w:r w:rsidR="00EE7521">
        <w:t xml:space="preserve"> </w:t>
      </w:r>
      <w:r w:rsidR="00EE0CB1">
        <w:t xml:space="preserve">They refer to </w:t>
      </w:r>
      <w:r w:rsidR="00EE0CB1" w:rsidRPr="00EE0CB1">
        <w:t xml:space="preserve">an investigation about the characteristics of a given population by means of collecting data from a sample of that population </w:t>
      </w:r>
      <w:r w:rsidR="00EE0CB1">
        <w:t xml:space="preserve">(sample survey) or from the whole population (census) </w:t>
      </w:r>
      <w:r w:rsidR="00EE0CB1" w:rsidRPr="00EE0CB1">
        <w:t>and estimating their characteristics through the systematic use of statistical methodology.</w:t>
      </w:r>
      <w:r w:rsidR="00B0010A">
        <w:t xml:space="preserve"> It should be noted that the census refers to a complete enumeration of the units in the population</w:t>
      </w:r>
      <w:r w:rsidR="00EE7521">
        <w:t>, which is usually expensive</w:t>
      </w:r>
      <w:r w:rsidR="00B0010A">
        <w:t xml:space="preserve">; however in energy statistics it is often a </w:t>
      </w:r>
      <w:r w:rsidR="00E73D2E">
        <w:t xml:space="preserve">feasible </w:t>
      </w:r>
      <w:r w:rsidR="00B0010A">
        <w:t>option in the cases where the number of units in the population is low. This can be the case when looking at the refineries in countries where there are only a few and it may be more accurate to collect the data from all of them rather than from a sample.</w:t>
      </w:r>
    </w:p>
    <w:p w14:paraId="1A244AD9" w14:textId="3846367A" w:rsidR="00441770" w:rsidRDefault="00441770" w:rsidP="00CF1D7A">
      <w:pPr>
        <w:jc w:val="both"/>
      </w:pPr>
      <w:r>
        <w:t xml:space="preserve">Modelling here </w:t>
      </w:r>
      <w:r w:rsidR="006D5BD4">
        <w:t xml:space="preserve">refers </w:t>
      </w:r>
      <w:r>
        <w:t>to the estimation of a variable/data item which cannot be measured directly, but is estimated based on measurable and observable data. A typical example is the estimation of the production of electricity through solar photovoltaic panels. Often this quantity is estimated based on the number of solar photovoltaic panel in use and average weather conditions.</w:t>
      </w:r>
    </w:p>
    <w:p w14:paraId="7D58210C" w14:textId="6494C93E" w:rsidR="009C1320" w:rsidRPr="00EE0CB1" w:rsidRDefault="009C1320" w:rsidP="00CF1D7A">
      <w:pPr>
        <w:jc w:val="both"/>
        <w:rPr>
          <w:lang w:val="en-US"/>
        </w:rPr>
      </w:pPr>
      <w:r>
        <w:t>In-situ measurement refer</w:t>
      </w:r>
      <w:r w:rsidR="00637331">
        <w:t>s</w:t>
      </w:r>
      <w:r w:rsidR="00A84AD1">
        <w:t xml:space="preserve"> to techniques to collect detailed consumption data based on a measuring device </w:t>
      </w:r>
      <w:r w:rsidR="007D162A">
        <w:t xml:space="preserve">which for example can be </w:t>
      </w:r>
      <w:r w:rsidR="00DF09AD">
        <w:t>installed at the point of final consumption</w:t>
      </w:r>
      <w:r w:rsidR="00A84AD1">
        <w:t xml:space="preserve">. </w:t>
      </w:r>
    </w:p>
    <w:p w14:paraId="38F8CEBC" w14:textId="2E6355E5" w:rsidR="00A84AD1" w:rsidRDefault="00A84AD1" w:rsidP="00A84AD1">
      <w:pPr>
        <w:jc w:val="both"/>
      </w:pPr>
      <w:r>
        <w:t xml:space="preserve">Each of these data sources has some advantages and disadvantages. Ideally the objective is to collect data by the most efficient means possible. Therefore if data are already available from an administrative source, or an existing survey (and they can be used for your purposes), then there would be no apparent need to embark </w:t>
      </w:r>
      <w:r w:rsidR="00EE7521">
        <w:t>on</w:t>
      </w:r>
      <w:r>
        <w:t xml:space="preserve"> a new data collection</w:t>
      </w:r>
      <w:r w:rsidR="00E912C8">
        <w:t xml:space="preserve"> </w:t>
      </w:r>
      <w:r w:rsidR="00EA6C42">
        <w:t>process</w:t>
      </w:r>
      <w:r>
        <w:t>.</w:t>
      </w:r>
      <w:r w:rsidR="00EE7521">
        <w:t xml:space="preserve"> </w:t>
      </w:r>
      <w:r>
        <w:t>If no such information of suitable quality is available then adding questions to existing surveys or a new survey could be considered.</w:t>
      </w:r>
      <w:r w:rsidR="00EE7521">
        <w:t xml:space="preserve"> </w:t>
      </w:r>
      <w:r w:rsidR="007B7D4A">
        <w:t>O</w:t>
      </w:r>
      <w:r>
        <w:t>ften production of energy is a licen</w:t>
      </w:r>
      <w:r w:rsidR="00EE7521">
        <w:t>s</w:t>
      </w:r>
      <w:r>
        <w:t xml:space="preserve">ed activity, so </w:t>
      </w:r>
      <w:r w:rsidR="00F91F59">
        <w:t xml:space="preserve">production </w:t>
      </w:r>
      <w:r>
        <w:t>data may be available within administrative systems, and existing trade data collection may provide suitable information on energy imports and exports.</w:t>
      </w:r>
    </w:p>
    <w:p w14:paraId="3C1FC210" w14:textId="4665213D" w:rsidR="00A84AD1" w:rsidRDefault="00A84AD1" w:rsidP="00A84AD1">
      <w:pPr>
        <w:jc w:val="both"/>
      </w:pPr>
      <w:r>
        <w:t>There is a clear trade-off between cost and quality; the larger the sample size</w:t>
      </w:r>
      <w:r w:rsidR="00023FF9">
        <w:t>,</w:t>
      </w:r>
      <w:r>
        <w:t xml:space="preserve"> the more expensive, but the lowe</w:t>
      </w:r>
      <w:r w:rsidR="00597474">
        <w:t>r the</w:t>
      </w:r>
      <w:r>
        <w:t xml:space="preserve"> standard error.</w:t>
      </w:r>
      <w:r w:rsidR="00EE7521">
        <w:t xml:space="preserve"> </w:t>
      </w:r>
      <w:r>
        <w:t>Such decisions need to be based on the desired quality, though with reference to the available budget.</w:t>
      </w:r>
      <w:r w:rsidR="00EE7521">
        <w:t xml:space="preserve"> </w:t>
      </w:r>
      <w:r>
        <w:t>If the population is fairly homogeneous then a smaller sample may suffice, whilst if heterogeneous then larger sample sizes will be required.</w:t>
      </w:r>
      <w:r w:rsidR="00EE7521">
        <w:t xml:space="preserve"> </w:t>
      </w:r>
      <w:r w:rsidR="00D901FF">
        <w:t xml:space="preserve">In general, energy surveys are repeated so the sample sizes can be amended over time based on levels of variation </w:t>
      </w:r>
      <w:r w:rsidR="00023FF9">
        <w:t>among</w:t>
      </w:r>
      <w:r w:rsidR="00D901FF">
        <w:t xml:space="preserve"> companies. </w:t>
      </w:r>
      <w:r w:rsidR="00B00C84">
        <w:t>In addition to</w:t>
      </w:r>
      <w:r>
        <w:t xml:space="preserve"> the direct cost to the organisation, the </w:t>
      </w:r>
      <w:r w:rsidR="00250425">
        <w:t xml:space="preserve">response </w:t>
      </w:r>
      <w:r>
        <w:t>burden of the survey on the business</w:t>
      </w:r>
      <w:r w:rsidR="00B00C84">
        <w:t>es</w:t>
      </w:r>
      <w:r>
        <w:t xml:space="preserve"> </w:t>
      </w:r>
      <w:r w:rsidR="00250425">
        <w:t xml:space="preserve">should also </w:t>
      </w:r>
      <w:r>
        <w:t>be considered.</w:t>
      </w:r>
      <w:r w:rsidR="00EE7521">
        <w:t xml:space="preserve"> </w:t>
      </w:r>
      <w:r>
        <w:t>This burden should be measured and minimised.</w:t>
      </w:r>
      <w:r w:rsidR="00EE7521">
        <w:t xml:space="preserve"> </w:t>
      </w:r>
    </w:p>
    <w:p w14:paraId="2964A965" w14:textId="3E9E56D7" w:rsidR="00A84AD1" w:rsidRDefault="00A84AD1" w:rsidP="00A84AD1">
      <w:pPr>
        <w:jc w:val="both"/>
      </w:pPr>
      <w:r>
        <w:t>The frequency of data collection also needs to be considered.</w:t>
      </w:r>
      <w:r w:rsidR="00EE7521">
        <w:t xml:space="preserve"> </w:t>
      </w:r>
      <w:r>
        <w:t>For example, if the same statistic is being measured on a monthly and annual basis – a smaller sample to produce the monthly data may be considered with a larger sample at the year end.</w:t>
      </w:r>
      <w:r w:rsidR="00EE7521">
        <w:t xml:space="preserve"> </w:t>
      </w:r>
      <w:r>
        <w:t xml:space="preserve">Also it may be that </w:t>
      </w:r>
      <w:r w:rsidR="006B00A6">
        <w:t xml:space="preserve">only </w:t>
      </w:r>
      <w:r>
        <w:t>more restricted data</w:t>
      </w:r>
      <w:r w:rsidR="006B00A6">
        <w:t xml:space="preserve">, such as </w:t>
      </w:r>
      <w:r w:rsidR="00023FF9">
        <w:t>total</w:t>
      </w:r>
      <w:r w:rsidR="006B00A6">
        <w:t xml:space="preserve"> usage of a fuel,</w:t>
      </w:r>
      <w:r>
        <w:t xml:space="preserve"> is </w:t>
      </w:r>
      <w:r w:rsidR="006B00A6">
        <w:t xml:space="preserve">available </w:t>
      </w:r>
      <w:r>
        <w:t xml:space="preserve">on a monthly basis, </w:t>
      </w:r>
      <w:r w:rsidR="007578A1">
        <w:t xml:space="preserve">while </w:t>
      </w:r>
      <w:r>
        <w:t>on an annual basis information may be sought by detailed industrial sector</w:t>
      </w:r>
      <w:r w:rsidR="009D5B19">
        <w:t>s</w:t>
      </w:r>
      <w:r>
        <w:t>.</w:t>
      </w:r>
    </w:p>
    <w:p w14:paraId="15C34968" w14:textId="49720D05" w:rsidR="00A84AD1" w:rsidRDefault="00A84AD1" w:rsidP="00A84AD1">
      <w:pPr>
        <w:jc w:val="both"/>
      </w:pPr>
      <w:r>
        <w:t xml:space="preserve">For surveys on energy supply where in most cases the number of respondents is low and the competence of the respondents is high, censuses </w:t>
      </w:r>
      <w:r w:rsidR="00172F53">
        <w:t>can be feasible</w:t>
      </w:r>
      <w:r>
        <w:t xml:space="preserve"> solutions. In contrast</w:t>
      </w:r>
      <w:r w:rsidR="009618B3">
        <w:t>,</w:t>
      </w:r>
      <w:r>
        <w:t xml:space="preserve"> for final energy consumption</w:t>
      </w:r>
      <w:r w:rsidR="00CD5B28">
        <w:t>,</w:t>
      </w:r>
      <w:r>
        <w:t xml:space="preserve"> the population of (potential) respondents is huge and their </w:t>
      </w:r>
      <w:r>
        <w:lastRenderedPageBreak/>
        <w:t xml:space="preserve">knowledge on the topics mostly relatively low. Therefore for consumption sample surveys conducted as interviews </w:t>
      </w:r>
      <w:r w:rsidR="004B7451">
        <w:t>may be</w:t>
      </w:r>
      <w:r>
        <w:t xml:space="preserve"> the preferable solution.</w:t>
      </w:r>
    </w:p>
    <w:p w14:paraId="7FE3D9B8" w14:textId="1880A971" w:rsidR="002565DD" w:rsidRDefault="002565DD" w:rsidP="00A84AD1">
      <w:pPr>
        <w:jc w:val="both"/>
      </w:pPr>
      <w:r>
        <w:t>Table 4.</w:t>
      </w:r>
      <w:r w:rsidR="00910B13">
        <w:t>1</w:t>
      </w:r>
      <w:r>
        <w:t xml:space="preserve"> gives an overview </w:t>
      </w:r>
      <w:r w:rsidR="005A6C87">
        <w:t xml:space="preserve">of </w:t>
      </w:r>
      <w:r>
        <w:t>strengths and weaknesses of the discussed data sources</w:t>
      </w:r>
      <w:r w:rsidR="005A6C87">
        <w:t>.</w:t>
      </w:r>
    </w:p>
    <w:p w14:paraId="632457DC" w14:textId="77777777" w:rsidR="00910B13" w:rsidRPr="00C07F04" w:rsidRDefault="00910B13" w:rsidP="00A84AD1">
      <w:pPr>
        <w:jc w:val="both"/>
      </w:pPr>
    </w:p>
    <w:p w14:paraId="044B820B" w14:textId="77777777" w:rsidR="002565DD" w:rsidRPr="00441770" w:rsidRDefault="00910B13" w:rsidP="002565DD">
      <w:pPr>
        <w:spacing w:after="113" w:line="236" w:lineRule="atLeast"/>
        <w:ind w:right="-8"/>
        <w:jc w:val="center"/>
        <w:rPr>
          <w:rFonts w:eastAsia="Cambria" w:cs="Times"/>
          <w:b/>
          <w:lang w:eastAsia="es-ES"/>
        </w:rPr>
      </w:pPr>
      <w:r>
        <w:rPr>
          <w:rFonts w:eastAsia="Cambria" w:cs="Times"/>
          <w:b/>
          <w:lang w:eastAsia="es-ES"/>
        </w:rPr>
        <w:t>Table 4.1</w:t>
      </w:r>
      <w:r w:rsidR="002565DD" w:rsidRPr="00441770">
        <w:rPr>
          <w:rFonts w:eastAsia="Cambria" w:cs="Times"/>
          <w:b/>
          <w:lang w:eastAsia="es-ES"/>
        </w:rPr>
        <w:t>: Summary of advantages and disadvantages related to statistical techniques</w:t>
      </w:r>
    </w:p>
    <w:tbl>
      <w:tblPr>
        <w:tblW w:w="4679"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74"/>
        <w:gridCol w:w="3326"/>
        <w:gridCol w:w="3580"/>
      </w:tblGrid>
      <w:tr w:rsidR="002565DD" w:rsidRPr="00C10593" w14:paraId="16F97BB2" w14:textId="77777777" w:rsidTr="005F1FE8">
        <w:trPr>
          <w:trHeight w:val="179"/>
          <w:tblCellSpacing w:w="15" w:type="dxa"/>
          <w:jc w:val="center"/>
        </w:trPr>
        <w:tc>
          <w:tcPr>
            <w:tcW w:w="995" w:type="pct"/>
            <w:tcBorders>
              <w:top w:val="single" w:sz="4" w:space="0" w:color="FFFFFF"/>
              <w:left w:val="single" w:sz="4" w:space="0" w:color="FFFFFF"/>
              <w:bottom w:val="single" w:sz="4" w:space="0" w:color="FFFFFF"/>
              <w:right w:val="single" w:sz="4" w:space="0" w:color="FFFFFF"/>
            </w:tcBorders>
            <w:shd w:val="clear" w:color="auto" w:fill="215868"/>
          </w:tcPr>
          <w:p w14:paraId="5FC8A1C8" w14:textId="77777777" w:rsidR="002565DD" w:rsidRPr="0025282F" w:rsidRDefault="002565DD" w:rsidP="005F1FE8">
            <w:pPr>
              <w:jc w:val="center"/>
              <w:rPr>
                <w:rFonts w:cs="Times"/>
                <w:b/>
                <w:color w:val="FFFFFF"/>
                <w:sz w:val="21"/>
                <w:szCs w:val="21"/>
              </w:rPr>
            </w:pPr>
          </w:p>
        </w:tc>
        <w:tc>
          <w:tcPr>
            <w:tcW w:w="1897" w:type="pct"/>
            <w:tcBorders>
              <w:top w:val="single" w:sz="4" w:space="0" w:color="FFFFFF"/>
              <w:left w:val="single" w:sz="4" w:space="0" w:color="FFFFFF"/>
              <w:bottom w:val="single" w:sz="4" w:space="0" w:color="FFFFFF"/>
              <w:right w:val="single" w:sz="4" w:space="0" w:color="FFFFFF"/>
            </w:tcBorders>
            <w:shd w:val="clear" w:color="auto" w:fill="215868"/>
            <w:tcMar>
              <w:top w:w="15" w:type="dxa"/>
              <w:left w:w="15" w:type="dxa"/>
              <w:bottom w:w="15" w:type="dxa"/>
              <w:right w:w="15" w:type="dxa"/>
            </w:tcMar>
          </w:tcPr>
          <w:p w14:paraId="2EF361EE" w14:textId="77777777" w:rsidR="002565DD" w:rsidRPr="00C10593" w:rsidRDefault="002565DD" w:rsidP="005F1FE8">
            <w:pPr>
              <w:jc w:val="center"/>
              <w:rPr>
                <w:rFonts w:cs="Times"/>
                <w:b/>
                <w:color w:val="FFFFFF"/>
                <w:sz w:val="21"/>
                <w:szCs w:val="21"/>
              </w:rPr>
            </w:pPr>
            <w:r w:rsidRPr="00C10593">
              <w:rPr>
                <w:rFonts w:cs="Times"/>
                <w:b/>
                <w:color w:val="FFFFFF"/>
                <w:sz w:val="21"/>
                <w:szCs w:val="21"/>
              </w:rPr>
              <w:t>Advantages</w:t>
            </w:r>
          </w:p>
        </w:tc>
        <w:tc>
          <w:tcPr>
            <w:tcW w:w="2035" w:type="pct"/>
            <w:tcBorders>
              <w:top w:val="single" w:sz="4" w:space="0" w:color="FFFFFF"/>
              <w:left w:val="single" w:sz="4" w:space="0" w:color="FFFFFF"/>
              <w:bottom w:val="single" w:sz="4" w:space="0" w:color="FFFFFF"/>
              <w:right w:val="single" w:sz="4" w:space="0" w:color="FFFFFF"/>
            </w:tcBorders>
            <w:shd w:val="clear" w:color="auto" w:fill="215868"/>
            <w:tcMar>
              <w:top w:w="15" w:type="dxa"/>
              <w:left w:w="15" w:type="dxa"/>
              <w:bottom w:w="15" w:type="dxa"/>
              <w:right w:w="15" w:type="dxa"/>
            </w:tcMar>
          </w:tcPr>
          <w:p w14:paraId="4A00ACFE" w14:textId="77777777" w:rsidR="002565DD" w:rsidRPr="00C10593" w:rsidRDefault="002565DD" w:rsidP="005F1FE8">
            <w:pPr>
              <w:jc w:val="center"/>
              <w:rPr>
                <w:rFonts w:cs="Times"/>
                <w:b/>
                <w:color w:val="FFFFFF"/>
                <w:sz w:val="21"/>
                <w:szCs w:val="21"/>
              </w:rPr>
            </w:pPr>
            <w:r w:rsidRPr="00C10593">
              <w:rPr>
                <w:rFonts w:cs="Times"/>
                <w:b/>
                <w:color w:val="FFFFFF"/>
                <w:sz w:val="21"/>
                <w:szCs w:val="21"/>
              </w:rPr>
              <w:t>Disadvantages</w:t>
            </w:r>
          </w:p>
        </w:tc>
      </w:tr>
      <w:tr w:rsidR="002565DD" w:rsidRPr="00015231" w14:paraId="25882D52" w14:textId="77777777" w:rsidTr="005F1FE8">
        <w:trPr>
          <w:trHeight w:val="97"/>
          <w:tblCellSpacing w:w="15" w:type="dxa"/>
          <w:jc w:val="center"/>
        </w:trPr>
        <w:tc>
          <w:tcPr>
            <w:tcW w:w="995" w:type="pct"/>
            <w:tcBorders>
              <w:top w:val="outset" w:sz="6" w:space="0" w:color="auto"/>
              <w:left w:val="outset" w:sz="6" w:space="0" w:color="auto"/>
              <w:bottom w:val="outset" w:sz="6" w:space="0" w:color="auto"/>
              <w:right w:val="outset" w:sz="6" w:space="0" w:color="auto"/>
            </w:tcBorders>
            <w:vAlign w:val="center"/>
          </w:tcPr>
          <w:p w14:paraId="7C0B12F5" w14:textId="77777777" w:rsidR="002565DD" w:rsidRPr="006027D1" w:rsidRDefault="0057035D" w:rsidP="005F1FE8">
            <w:pPr>
              <w:spacing w:before="40"/>
              <w:ind w:left="278" w:hanging="142"/>
              <w:jc w:val="both"/>
              <w:rPr>
                <w:rFonts w:cs="Times"/>
                <w:b/>
                <w:sz w:val="19"/>
                <w:szCs w:val="19"/>
              </w:rPr>
            </w:pPr>
            <w:r>
              <w:rPr>
                <w:rFonts w:cs="Times"/>
                <w:b/>
                <w:sz w:val="19"/>
                <w:szCs w:val="19"/>
              </w:rPr>
              <w:t xml:space="preserve">Statistical </w:t>
            </w:r>
            <w:r w:rsidR="002565DD" w:rsidRPr="006027D1">
              <w:rPr>
                <w:rFonts w:cs="Times"/>
                <w:b/>
                <w:sz w:val="19"/>
                <w:szCs w:val="19"/>
              </w:rPr>
              <w:t>Surveys</w:t>
            </w:r>
          </w:p>
        </w:tc>
        <w:tc>
          <w:tcPr>
            <w:tcW w:w="1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FE34327" w14:textId="77777777" w:rsidR="002565DD" w:rsidRPr="00315E04"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sidRPr="00315E04">
              <w:rPr>
                <w:rFonts w:cs="Times"/>
                <w:sz w:val="19"/>
                <w:szCs w:val="19"/>
              </w:rPr>
              <w:t xml:space="preserve">Comprehensive information on all fuels </w:t>
            </w:r>
            <w:r>
              <w:rPr>
                <w:rFonts w:cs="Times"/>
                <w:sz w:val="19"/>
                <w:szCs w:val="19"/>
              </w:rPr>
              <w:t xml:space="preserve">supplied and </w:t>
            </w:r>
            <w:r w:rsidRPr="00315E04">
              <w:rPr>
                <w:rFonts w:cs="Times"/>
                <w:sz w:val="19"/>
                <w:szCs w:val="19"/>
              </w:rPr>
              <w:t xml:space="preserve">used </w:t>
            </w:r>
          </w:p>
          <w:p w14:paraId="5C941CA3" w14:textId="376A6098" w:rsidR="002565DD" w:rsidRPr="00315E04"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Pr>
                <w:rFonts w:cs="Times"/>
                <w:sz w:val="19"/>
                <w:szCs w:val="19"/>
              </w:rPr>
              <w:t xml:space="preserve">Good data </w:t>
            </w:r>
            <w:r w:rsidRPr="00315E04">
              <w:rPr>
                <w:rFonts w:cs="Times"/>
                <w:sz w:val="19"/>
                <w:szCs w:val="19"/>
              </w:rPr>
              <w:t>quality</w:t>
            </w:r>
          </w:p>
          <w:p w14:paraId="391B8184" w14:textId="77777777" w:rsidR="002565DD" w:rsidRPr="006E1E09" w:rsidRDefault="002565DD" w:rsidP="005F1FE8">
            <w:pPr>
              <w:pStyle w:val="ListParagraph"/>
              <w:numPr>
                <w:ilvl w:val="0"/>
                <w:numId w:val="30"/>
              </w:numPr>
              <w:spacing w:before="40" w:after="0" w:line="240" w:lineRule="auto"/>
              <w:ind w:left="278" w:hanging="142"/>
              <w:contextualSpacing w:val="0"/>
              <w:jc w:val="both"/>
              <w:rPr>
                <w:rFonts w:ascii="DIN Next LT Pro" w:hAnsi="DIN Next LT Pro" w:cs="Arial"/>
                <w:sz w:val="24"/>
                <w:szCs w:val="20"/>
              </w:rPr>
            </w:pPr>
            <w:r w:rsidRPr="00315E04">
              <w:rPr>
                <w:rFonts w:cs="Times"/>
                <w:sz w:val="19"/>
                <w:szCs w:val="19"/>
              </w:rPr>
              <w:t xml:space="preserve">Can be used directly and as </w:t>
            </w:r>
            <w:r>
              <w:rPr>
                <w:rFonts w:cs="Times"/>
                <w:sz w:val="19"/>
                <w:szCs w:val="19"/>
              </w:rPr>
              <w:t xml:space="preserve">an </w:t>
            </w:r>
            <w:r w:rsidRPr="00315E04">
              <w:rPr>
                <w:rFonts w:cs="Times"/>
                <w:sz w:val="19"/>
                <w:szCs w:val="19"/>
              </w:rPr>
              <w:t>input for model calculations</w:t>
            </w:r>
          </w:p>
          <w:p w14:paraId="6F4478CC" w14:textId="77777777" w:rsidR="002565DD" w:rsidRPr="008E0848" w:rsidRDefault="002565DD" w:rsidP="005F1FE8">
            <w:pPr>
              <w:pStyle w:val="ListParagraph"/>
              <w:numPr>
                <w:ilvl w:val="0"/>
                <w:numId w:val="30"/>
              </w:numPr>
              <w:spacing w:before="40" w:after="0" w:line="240" w:lineRule="auto"/>
              <w:ind w:left="278" w:hanging="142"/>
              <w:contextualSpacing w:val="0"/>
              <w:jc w:val="both"/>
              <w:rPr>
                <w:rFonts w:ascii="DIN Next LT Pro" w:hAnsi="DIN Next LT Pro" w:cs="Arial"/>
                <w:sz w:val="24"/>
                <w:szCs w:val="20"/>
              </w:rPr>
            </w:pPr>
            <w:r w:rsidRPr="005C6165">
              <w:rPr>
                <w:rFonts w:cs="Times"/>
                <w:sz w:val="19"/>
                <w:szCs w:val="19"/>
              </w:rPr>
              <w:t>Good response rates when surveys are covered by legislation</w:t>
            </w:r>
          </w:p>
        </w:tc>
        <w:tc>
          <w:tcPr>
            <w:tcW w:w="20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DB0DC4" w14:textId="070870A7" w:rsidR="002565DD" w:rsidRPr="006E1E09"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sidRPr="006E1E09">
              <w:rPr>
                <w:rFonts w:cs="Times"/>
                <w:sz w:val="19"/>
                <w:szCs w:val="19"/>
              </w:rPr>
              <w:t xml:space="preserve">Resource intensive and </w:t>
            </w:r>
            <w:r>
              <w:rPr>
                <w:rFonts w:cs="Times"/>
                <w:sz w:val="19"/>
                <w:szCs w:val="19"/>
              </w:rPr>
              <w:t>e</w:t>
            </w:r>
            <w:r w:rsidRPr="006E1E09">
              <w:rPr>
                <w:rFonts w:cs="Times"/>
                <w:sz w:val="19"/>
                <w:szCs w:val="19"/>
              </w:rPr>
              <w:t>xpensive</w:t>
            </w:r>
          </w:p>
          <w:p w14:paraId="5EABE228" w14:textId="69D66A71" w:rsidR="002565DD" w:rsidRPr="00315E04"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sidRPr="00315E04">
              <w:rPr>
                <w:rFonts w:cs="Times"/>
                <w:sz w:val="19"/>
                <w:szCs w:val="19"/>
              </w:rPr>
              <w:t>Time consuming</w:t>
            </w:r>
          </w:p>
          <w:p w14:paraId="030FFD17" w14:textId="61BE5E98" w:rsidR="002565DD"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sidRPr="00315E04">
              <w:rPr>
                <w:rFonts w:cs="Times"/>
                <w:sz w:val="19"/>
                <w:szCs w:val="19"/>
              </w:rPr>
              <w:t xml:space="preserve">High </w:t>
            </w:r>
            <w:r>
              <w:rPr>
                <w:rFonts w:cs="Times"/>
                <w:sz w:val="19"/>
                <w:szCs w:val="19"/>
              </w:rPr>
              <w:t>survey</w:t>
            </w:r>
            <w:r w:rsidRPr="00315E04">
              <w:rPr>
                <w:rFonts w:cs="Times"/>
                <w:sz w:val="19"/>
                <w:szCs w:val="19"/>
              </w:rPr>
              <w:t xml:space="preserve"> burden</w:t>
            </w:r>
          </w:p>
          <w:p w14:paraId="176D05B1" w14:textId="5F3FDC7C" w:rsidR="002565DD" w:rsidRPr="006E1E09"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sidRPr="005C6165">
              <w:rPr>
                <w:rFonts w:cs="Times"/>
                <w:sz w:val="19"/>
                <w:szCs w:val="19"/>
              </w:rPr>
              <w:t>If voluntary, response rates can be low</w:t>
            </w:r>
          </w:p>
          <w:p w14:paraId="4C8022D5" w14:textId="2FFA7723" w:rsidR="002565DD"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Pr>
                <w:rFonts w:cs="Times"/>
                <w:sz w:val="19"/>
                <w:szCs w:val="19"/>
              </w:rPr>
              <w:t>Data validation required</w:t>
            </w:r>
          </w:p>
          <w:p w14:paraId="6AC51374" w14:textId="36B93762" w:rsidR="002565DD"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Pr>
                <w:rFonts w:cs="Times"/>
                <w:sz w:val="19"/>
                <w:szCs w:val="19"/>
              </w:rPr>
              <w:t>Reporting of non-metered fuels, often purchases not used</w:t>
            </w:r>
          </w:p>
        </w:tc>
      </w:tr>
      <w:tr w:rsidR="002565DD" w:rsidRPr="00015231" w14:paraId="633E90A3" w14:textId="77777777" w:rsidTr="005F1FE8">
        <w:trPr>
          <w:trHeight w:val="97"/>
          <w:tblCellSpacing w:w="15" w:type="dxa"/>
          <w:jc w:val="center"/>
        </w:trPr>
        <w:tc>
          <w:tcPr>
            <w:tcW w:w="995" w:type="pct"/>
            <w:tcBorders>
              <w:top w:val="outset" w:sz="6" w:space="0" w:color="auto"/>
              <w:left w:val="outset" w:sz="6" w:space="0" w:color="auto"/>
              <w:bottom w:val="outset" w:sz="6" w:space="0" w:color="auto"/>
              <w:right w:val="outset" w:sz="6" w:space="0" w:color="auto"/>
            </w:tcBorders>
            <w:vAlign w:val="center"/>
          </w:tcPr>
          <w:p w14:paraId="743F7715" w14:textId="77777777" w:rsidR="002565DD" w:rsidRPr="006027D1" w:rsidRDefault="0057035D" w:rsidP="005F1FE8">
            <w:pPr>
              <w:spacing w:before="40"/>
              <w:ind w:left="-11"/>
              <w:rPr>
                <w:rFonts w:cs="Times"/>
                <w:b/>
                <w:sz w:val="19"/>
                <w:szCs w:val="19"/>
              </w:rPr>
            </w:pPr>
            <w:r>
              <w:rPr>
                <w:rFonts w:cs="Times"/>
                <w:b/>
                <w:sz w:val="19"/>
                <w:szCs w:val="19"/>
              </w:rPr>
              <w:t>A</w:t>
            </w:r>
            <w:r w:rsidR="002565DD" w:rsidRPr="006027D1">
              <w:rPr>
                <w:rFonts w:cs="Times"/>
                <w:b/>
                <w:sz w:val="19"/>
                <w:szCs w:val="19"/>
              </w:rPr>
              <w:t>dministrative data</w:t>
            </w:r>
          </w:p>
        </w:tc>
        <w:tc>
          <w:tcPr>
            <w:tcW w:w="1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C847BB" w14:textId="77777777" w:rsidR="002565DD" w:rsidRPr="003E2D83"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Pr>
                <w:rFonts w:cs="Times"/>
                <w:sz w:val="19"/>
                <w:szCs w:val="19"/>
              </w:rPr>
              <w:t xml:space="preserve">Low </w:t>
            </w:r>
            <w:r w:rsidRPr="003E2D83">
              <w:rPr>
                <w:rFonts w:cs="Times"/>
                <w:sz w:val="19"/>
                <w:szCs w:val="19"/>
              </w:rPr>
              <w:t>survey burden</w:t>
            </w:r>
          </w:p>
          <w:p w14:paraId="3B74A860" w14:textId="77777777" w:rsidR="002565DD" w:rsidRPr="003E2D83"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sidRPr="003E2D83">
              <w:rPr>
                <w:rFonts w:cs="Times"/>
                <w:sz w:val="19"/>
                <w:szCs w:val="19"/>
              </w:rPr>
              <w:t xml:space="preserve">Greater number of records allows more detailed breakdowns </w:t>
            </w:r>
          </w:p>
          <w:p w14:paraId="056C43BE" w14:textId="77777777" w:rsidR="002565DD" w:rsidRPr="003E2D83"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sidRPr="003E2D83">
              <w:rPr>
                <w:rFonts w:cs="Times"/>
                <w:sz w:val="19"/>
                <w:szCs w:val="19"/>
              </w:rPr>
              <w:t>Avoid</w:t>
            </w:r>
            <w:r>
              <w:rPr>
                <w:rFonts w:cs="Times"/>
                <w:sz w:val="19"/>
                <w:szCs w:val="19"/>
              </w:rPr>
              <w:t>s</w:t>
            </w:r>
            <w:r w:rsidRPr="003E2D83">
              <w:rPr>
                <w:rFonts w:cs="Times"/>
                <w:sz w:val="19"/>
                <w:szCs w:val="19"/>
              </w:rPr>
              <w:t xml:space="preserve"> </w:t>
            </w:r>
            <w:r>
              <w:rPr>
                <w:rFonts w:cs="Times"/>
                <w:sz w:val="19"/>
                <w:szCs w:val="19"/>
              </w:rPr>
              <w:t xml:space="preserve">duplication by making use of </w:t>
            </w:r>
            <w:r w:rsidRPr="003E2D83">
              <w:rPr>
                <w:rFonts w:cs="Times"/>
                <w:sz w:val="19"/>
                <w:szCs w:val="19"/>
              </w:rPr>
              <w:t>existing data</w:t>
            </w:r>
          </w:p>
          <w:p w14:paraId="256F93D6" w14:textId="77777777" w:rsidR="002565DD"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sidRPr="003E2D83">
              <w:rPr>
                <w:rFonts w:cs="Times"/>
                <w:sz w:val="19"/>
                <w:szCs w:val="19"/>
              </w:rPr>
              <w:t>No sample error</w:t>
            </w:r>
          </w:p>
        </w:tc>
        <w:tc>
          <w:tcPr>
            <w:tcW w:w="20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4873AFB" w14:textId="7A8E70E2" w:rsidR="002565DD" w:rsidRPr="003E2D83"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sidRPr="003E2D83">
              <w:rPr>
                <w:rFonts w:cs="Times"/>
                <w:sz w:val="19"/>
                <w:szCs w:val="19"/>
              </w:rPr>
              <w:t>Dependency on third parties</w:t>
            </w:r>
          </w:p>
          <w:p w14:paraId="12EE788B" w14:textId="458D767A" w:rsidR="002565DD" w:rsidRPr="003E2D83"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Pr>
                <w:rFonts w:cs="Times"/>
                <w:sz w:val="19"/>
                <w:szCs w:val="19"/>
              </w:rPr>
              <w:t xml:space="preserve">Definitions and information </w:t>
            </w:r>
            <w:r w:rsidRPr="003E2D83">
              <w:rPr>
                <w:rFonts w:cs="Times"/>
                <w:sz w:val="19"/>
                <w:szCs w:val="19"/>
              </w:rPr>
              <w:t>may not match statistical needs</w:t>
            </w:r>
          </w:p>
          <w:p w14:paraId="6193194D" w14:textId="5F070135" w:rsidR="002565DD" w:rsidRDefault="002565DD" w:rsidP="002E5512">
            <w:pPr>
              <w:pStyle w:val="ListParagraph"/>
              <w:numPr>
                <w:ilvl w:val="0"/>
                <w:numId w:val="30"/>
              </w:numPr>
              <w:spacing w:before="40" w:after="0" w:line="240" w:lineRule="auto"/>
              <w:ind w:left="278" w:hanging="142"/>
              <w:contextualSpacing w:val="0"/>
              <w:jc w:val="both"/>
              <w:rPr>
                <w:rFonts w:cs="Times"/>
                <w:sz w:val="19"/>
                <w:szCs w:val="19"/>
              </w:rPr>
            </w:pPr>
            <w:r w:rsidRPr="003E2D83">
              <w:rPr>
                <w:rFonts w:cs="Times"/>
                <w:sz w:val="19"/>
                <w:szCs w:val="19"/>
              </w:rPr>
              <w:t>Often requires substantial effort to set up</w:t>
            </w:r>
            <w:r>
              <w:rPr>
                <w:rFonts w:cs="Times"/>
                <w:sz w:val="19"/>
                <w:szCs w:val="19"/>
              </w:rPr>
              <w:t xml:space="preserve"> and may be legal barriers to use</w:t>
            </w:r>
          </w:p>
        </w:tc>
      </w:tr>
      <w:tr w:rsidR="002565DD" w:rsidRPr="00015231" w14:paraId="4D24D48E" w14:textId="77777777" w:rsidTr="005F1FE8">
        <w:trPr>
          <w:trHeight w:val="97"/>
          <w:tblCellSpacing w:w="15" w:type="dxa"/>
          <w:jc w:val="center"/>
        </w:trPr>
        <w:tc>
          <w:tcPr>
            <w:tcW w:w="995" w:type="pct"/>
            <w:tcBorders>
              <w:top w:val="outset" w:sz="6" w:space="0" w:color="auto"/>
              <w:left w:val="outset" w:sz="6" w:space="0" w:color="auto"/>
              <w:bottom w:val="outset" w:sz="6" w:space="0" w:color="auto"/>
              <w:right w:val="outset" w:sz="6" w:space="0" w:color="auto"/>
            </w:tcBorders>
            <w:vAlign w:val="center"/>
          </w:tcPr>
          <w:p w14:paraId="723FAC1B" w14:textId="77777777" w:rsidR="002565DD" w:rsidRPr="006027D1" w:rsidRDefault="002565DD" w:rsidP="005F1FE8">
            <w:pPr>
              <w:spacing w:before="40"/>
              <w:ind w:left="-11"/>
              <w:rPr>
                <w:rFonts w:cs="Times"/>
                <w:b/>
                <w:sz w:val="19"/>
                <w:szCs w:val="19"/>
              </w:rPr>
            </w:pPr>
            <w:r w:rsidRPr="006027D1">
              <w:rPr>
                <w:rFonts w:cs="Times"/>
                <w:b/>
                <w:sz w:val="19"/>
                <w:szCs w:val="19"/>
              </w:rPr>
              <w:t>Modelling</w:t>
            </w:r>
          </w:p>
        </w:tc>
        <w:tc>
          <w:tcPr>
            <w:tcW w:w="1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FBA816C" w14:textId="77777777" w:rsidR="002565DD" w:rsidRPr="003E2D83"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sidRPr="003E2D83">
              <w:rPr>
                <w:rFonts w:cs="Times"/>
                <w:sz w:val="19"/>
                <w:szCs w:val="19"/>
              </w:rPr>
              <w:t xml:space="preserve">Allows quantification of </w:t>
            </w:r>
            <w:r>
              <w:rPr>
                <w:rFonts w:cs="Times"/>
                <w:sz w:val="19"/>
                <w:szCs w:val="19"/>
              </w:rPr>
              <w:t>variables that</w:t>
            </w:r>
            <w:r w:rsidRPr="003E2D83">
              <w:rPr>
                <w:rFonts w:cs="Times"/>
                <w:sz w:val="19"/>
                <w:szCs w:val="19"/>
              </w:rPr>
              <w:t xml:space="preserve"> which cannot be directly measured or observed</w:t>
            </w:r>
          </w:p>
          <w:p w14:paraId="0103B839" w14:textId="77777777" w:rsidR="002565DD" w:rsidRPr="003E2D83"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sidRPr="003E2D83">
              <w:rPr>
                <w:rFonts w:cs="Times"/>
                <w:sz w:val="19"/>
                <w:szCs w:val="19"/>
              </w:rPr>
              <w:t>Save resources (money and staff)</w:t>
            </w:r>
          </w:p>
          <w:p w14:paraId="06BF07BA" w14:textId="77777777" w:rsidR="002565DD" w:rsidRPr="003E2D83"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Pr>
                <w:rFonts w:cs="Times"/>
                <w:sz w:val="19"/>
                <w:szCs w:val="19"/>
              </w:rPr>
              <w:t>Low survey</w:t>
            </w:r>
            <w:r w:rsidRPr="003E2D83">
              <w:rPr>
                <w:rFonts w:cs="Times"/>
                <w:sz w:val="19"/>
                <w:szCs w:val="19"/>
              </w:rPr>
              <w:t xml:space="preserve"> burden</w:t>
            </w:r>
          </w:p>
          <w:p w14:paraId="699813B4" w14:textId="77777777" w:rsidR="002565DD" w:rsidRPr="003E2D83"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sidRPr="003E2D83">
              <w:rPr>
                <w:rFonts w:cs="Times"/>
                <w:sz w:val="19"/>
                <w:szCs w:val="19"/>
              </w:rPr>
              <w:t>Quick results</w:t>
            </w:r>
          </w:p>
          <w:p w14:paraId="0A38E162" w14:textId="77777777" w:rsidR="002565DD" w:rsidRPr="003E2D83"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sidRPr="003E2D83">
              <w:rPr>
                <w:rFonts w:cs="Times"/>
                <w:sz w:val="19"/>
                <w:szCs w:val="19"/>
              </w:rPr>
              <w:t>Can be used to adapt or improve survey results</w:t>
            </w:r>
          </w:p>
          <w:p w14:paraId="432B277F" w14:textId="77777777" w:rsidR="002565DD"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sidRPr="003E2D83">
              <w:rPr>
                <w:rFonts w:cs="Times"/>
                <w:sz w:val="19"/>
                <w:szCs w:val="19"/>
              </w:rPr>
              <w:t>Can be used to reduce survey frequency</w:t>
            </w:r>
          </w:p>
        </w:tc>
        <w:tc>
          <w:tcPr>
            <w:tcW w:w="20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9970422" w14:textId="2AC634C2" w:rsidR="002565DD" w:rsidRPr="003E2D83"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sidRPr="003E2D83">
              <w:rPr>
                <w:rFonts w:cs="Times"/>
                <w:sz w:val="19"/>
                <w:szCs w:val="19"/>
              </w:rPr>
              <w:t>Worse data quality compared to surveys</w:t>
            </w:r>
          </w:p>
          <w:p w14:paraId="618673C0" w14:textId="10E2BC8A" w:rsidR="002565DD"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sidRPr="003E2D83">
              <w:rPr>
                <w:rFonts w:cs="Times"/>
                <w:sz w:val="19"/>
                <w:szCs w:val="19"/>
              </w:rPr>
              <w:t>No Stand-alone methodology</w:t>
            </w:r>
            <w:r>
              <w:rPr>
                <w:rFonts w:cs="Times"/>
                <w:sz w:val="19"/>
                <w:szCs w:val="19"/>
              </w:rPr>
              <w:t xml:space="preserve">: </w:t>
            </w:r>
            <w:r w:rsidRPr="003E2D83">
              <w:rPr>
                <w:rFonts w:cs="Times"/>
                <w:sz w:val="19"/>
                <w:szCs w:val="19"/>
              </w:rPr>
              <w:t>cannot be calculated without input data</w:t>
            </w:r>
          </w:p>
          <w:p w14:paraId="7E138010" w14:textId="77777777" w:rsidR="002565DD" w:rsidRPr="008E0848"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Pr>
                <w:rFonts w:cs="Times"/>
                <w:sz w:val="19"/>
                <w:szCs w:val="19"/>
              </w:rPr>
              <w:t>Quality of results depend on accuracy of input data and the design of the model</w:t>
            </w:r>
          </w:p>
        </w:tc>
      </w:tr>
      <w:tr w:rsidR="002565DD" w:rsidRPr="009B6804" w14:paraId="60F3F85C" w14:textId="77777777" w:rsidTr="005F1FE8">
        <w:trPr>
          <w:trHeight w:val="97"/>
          <w:tblCellSpacing w:w="15" w:type="dxa"/>
          <w:jc w:val="center"/>
        </w:trPr>
        <w:tc>
          <w:tcPr>
            <w:tcW w:w="995" w:type="pct"/>
            <w:tcBorders>
              <w:top w:val="outset" w:sz="6" w:space="0" w:color="auto"/>
              <w:left w:val="outset" w:sz="6" w:space="0" w:color="auto"/>
              <w:bottom w:val="outset" w:sz="6" w:space="0" w:color="auto"/>
              <w:right w:val="outset" w:sz="6" w:space="0" w:color="auto"/>
            </w:tcBorders>
            <w:vAlign w:val="center"/>
          </w:tcPr>
          <w:p w14:paraId="18FB3769" w14:textId="77777777" w:rsidR="002565DD" w:rsidRPr="006027D1" w:rsidRDefault="002565DD" w:rsidP="005F1FE8">
            <w:pPr>
              <w:spacing w:before="40"/>
              <w:ind w:left="-11"/>
              <w:rPr>
                <w:rFonts w:cs="Times"/>
                <w:b/>
                <w:sz w:val="19"/>
                <w:szCs w:val="19"/>
              </w:rPr>
            </w:pPr>
            <w:r w:rsidRPr="006027D1">
              <w:rPr>
                <w:rFonts w:cs="Times"/>
                <w:b/>
                <w:sz w:val="19"/>
                <w:szCs w:val="19"/>
              </w:rPr>
              <w:t>“In situ” measurements</w:t>
            </w:r>
          </w:p>
        </w:tc>
        <w:tc>
          <w:tcPr>
            <w:tcW w:w="1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889793A" w14:textId="6567A73D" w:rsidR="002565DD" w:rsidRPr="003E2D83"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Pr>
                <w:rFonts w:cs="Times"/>
                <w:sz w:val="19"/>
                <w:szCs w:val="19"/>
              </w:rPr>
              <w:t>D</w:t>
            </w:r>
            <w:r w:rsidRPr="003E2D83">
              <w:rPr>
                <w:rFonts w:cs="Times"/>
                <w:sz w:val="19"/>
                <w:szCs w:val="19"/>
              </w:rPr>
              <w:t xml:space="preserve">etailed information </w:t>
            </w:r>
            <w:r>
              <w:rPr>
                <w:rFonts w:cs="Times"/>
                <w:sz w:val="19"/>
                <w:szCs w:val="19"/>
              </w:rPr>
              <w:t>on individual appliances,</w:t>
            </w:r>
            <w:r w:rsidDel="003D5B93">
              <w:rPr>
                <w:rFonts w:cs="Times"/>
                <w:sz w:val="19"/>
                <w:szCs w:val="19"/>
              </w:rPr>
              <w:t xml:space="preserve"> </w:t>
            </w:r>
            <w:r>
              <w:rPr>
                <w:rFonts w:cs="Times"/>
                <w:sz w:val="19"/>
                <w:szCs w:val="19"/>
              </w:rPr>
              <w:t>i</w:t>
            </w:r>
            <w:r w:rsidRPr="003E2D83">
              <w:rPr>
                <w:rFonts w:cs="Times"/>
                <w:sz w:val="19"/>
                <w:szCs w:val="19"/>
              </w:rPr>
              <w:t xml:space="preserve">nformation </w:t>
            </w:r>
            <w:r>
              <w:rPr>
                <w:rFonts w:cs="Times"/>
                <w:sz w:val="19"/>
                <w:szCs w:val="19"/>
              </w:rPr>
              <w:t>on patterns</w:t>
            </w:r>
            <w:r w:rsidRPr="003E2D83">
              <w:rPr>
                <w:rFonts w:cs="Times"/>
                <w:sz w:val="19"/>
                <w:szCs w:val="19"/>
              </w:rPr>
              <w:t xml:space="preserve"> of use of the equipment</w:t>
            </w:r>
          </w:p>
          <w:p w14:paraId="4CFCAE37" w14:textId="5487B656" w:rsidR="002565DD" w:rsidRPr="003E2D83"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sidRPr="003E2D83">
              <w:rPr>
                <w:rFonts w:cs="Times"/>
                <w:sz w:val="19"/>
                <w:szCs w:val="19"/>
              </w:rPr>
              <w:t>High quality of the results</w:t>
            </w:r>
          </w:p>
          <w:p w14:paraId="14B44F79" w14:textId="756ADFA6" w:rsidR="002565DD" w:rsidRPr="00FE0347"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sidRPr="003E2D83">
              <w:rPr>
                <w:rFonts w:cs="Times"/>
                <w:sz w:val="19"/>
                <w:szCs w:val="19"/>
              </w:rPr>
              <w:t>Input data for surveys and/or modelling</w:t>
            </w:r>
          </w:p>
        </w:tc>
        <w:tc>
          <w:tcPr>
            <w:tcW w:w="20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59801D" w14:textId="2012DE6A" w:rsidR="002565DD" w:rsidRPr="003E2D83"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sidRPr="00F24454">
              <w:rPr>
                <w:rFonts w:cs="Times"/>
                <w:sz w:val="19"/>
                <w:szCs w:val="19"/>
              </w:rPr>
              <w:t xml:space="preserve">Invasive for </w:t>
            </w:r>
            <w:r>
              <w:rPr>
                <w:rFonts w:cs="Times"/>
                <w:sz w:val="19"/>
                <w:szCs w:val="19"/>
              </w:rPr>
              <w:t>respondents: d</w:t>
            </w:r>
            <w:r w:rsidRPr="003E2D83">
              <w:rPr>
                <w:rFonts w:cs="Times"/>
                <w:sz w:val="19"/>
                <w:szCs w:val="19"/>
              </w:rPr>
              <w:t xml:space="preserve">ifficulties in finding </w:t>
            </w:r>
            <w:r>
              <w:rPr>
                <w:rFonts w:cs="Times"/>
                <w:sz w:val="19"/>
                <w:szCs w:val="19"/>
              </w:rPr>
              <w:t>respondents</w:t>
            </w:r>
            <w:r w:rsidRPr="003E2D83">
              <w:rPr>
                <w:rFonts w:cs="Times"/>
                <w:sz w:val="19"/>
                <w:szCs w:val="19"/>
              </w:rPr>
              <w:t xml:space="preserve"> willing to participate</w:t>
            </w:r>
          </w:p>
          <w:p w14:paraId="5894CA5A" w14:textId="0EEB4CC5" w:rsidR="002565DD"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Pr>
                <w:rFonts w:cs="Times"/>
                <w:sz w:val="19"/>
                <w:szCs w:val="19"/>
              </w:rPr>
              <w:t>High burden</w:t>
            </w:r>
            <w:r w:rsidRPr="003E2D83">
              <w:rPr>
                <w:rFonts w:cs="Times"/>
                <w:sz w:val="19"/>
                <w:szCs w:val="19"/>
              </w:rPr>
              <w:t xml:space="preserve"> in </w:t>
            </w:r>
            <w:r>
              <w:rPr>
                <w:rFonts w:cs="Times"/>
                <w:sz w:val="19"/>
                <w:szCs w:val="19"/>
              </w:rPr>
              <w:t xml:space="preserve">terms of </w:t>
            </w:r>
            <w:r w:rsidRPr="003E2D83">
              <w:rPr>
                <w:rFonts w:cs="Times"/>
                <w:sz w:val="19"/>
                <w:szCs w:val="19"/>
              </w:rPr>
              <w:t>time and human resources</w:t>
            </w:r>
          </w:p>
          <w:p w14:paraId="5F23B529" w14:textId="77777777" w:rsidR="002565DD" w:rsidRPr="00FE0347"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Pr>
                <w:rFonts w:cs="Times"/>
                <w:sz w:val="19"/>
                <w:szCs w:val="19"/>
              </w:rPr>
              <w:t>Expensive, so often small samples, and less representative</w:t>
            </w:r>
          </w:p>
          <w:p w14:paraId="77E9D742" w14:textId="73ECE73F" w:rsidR="002565DD" w:rsidRPr="00F24454" w:rsidRDefault="002565DD" w:rsidP="005F1FE8">
            <w:pPr>
              <w:pStyle w:val="ListParagraph"/>
              <w:numPr>
                <w:ilvl w:val="0"/>
                <w:numId w:val="30"/>
              </w:numPr>
              <w:spacing w:before="40" w:after="0" w:line="240" w:lineRule="auto"/>
              <w:ind w:left="278" w:hanging="142"/>
              <w:contextualSpacing w:val="0"/>
              <w:jc w:val="both"/>
              <w:rPr>
                <w:rFonts w:cs="Times"/>
                <w:sz w:val="19"/>
                <w:szCs w:val="19"/>
              </w:rPr>
            </w:pPr>
            <w:r w:rsidRPr="00F24454">
              <w:rPr>
                <w:rFonts w:cs="Times"/>
                <w:sz w:val="19"/>
                <w:szCs w:val="19"/>
              </w:rPr>
              <w:t>Constr</w:t>
            </w:r>
            <w:r>
              <w:rPr>
                <w:rFonts w:cs="Times"/>
                <w:sz w:val="19"/>
                <w:szCs w:val="19"/>
              </w:rPr>
              <w:t>aints in monitoring equipment: l</w:t>
            </w:r>
            <w:r w:rsidRPr="00F24454">
              <w:rPr>
                <w:rFonts w:cs="Times"/>
                <w:sz w:val="19"/>
                <w:szCs w:val="19"/>
              </w:rPr>
              <w:t>imitation in the number of metering devices and monitoring incidences</w:t>
            </w:r>
          </w:p>
        </w:tc>
      </w:tr>
    </w:tbl>
    <w:p w14:paraId="0A8BC528" w14:textId="77777777" w:rsidR="002565DD" w:rsidRPr="00C07F04" w:rsidRDefault="002565DD" w:rsidP="002565DD"/>
    <w:p w14:paraId="2F1739F1" w14:textId="0B1C7505" w:rsidR="008C1948" w:rsidRDefault="00E873A7" w:rsidP="00551958">
      <w:pPr>
        <w:jc w:val="both"/>
      </w:pPr>
      <w:r>
        <w:t>I</w:t>
      </w:r>
      <w:r w:rsidR="0057035D">
        <w:t>t is often the case that different data sources are used to collect different types of data in energy statistics.</w:t>
      </w:r>
      <w:r w:rsidR="00EE7521">
        <w:t xml:space="preserve"> </w:t>
      </w:r>
      <w:r w:rsidR="008C1948">
        <w:t>Table 4.2 shows the typical data sources used in energy statistics for different groups of data items.</w:t>
      </w:r>
    </w:p>
    <w:p w14:paraId="4CF30853" w14:textId="77777777" w:rsidR="002373EA" w:rsidRDefault="002373EA">
      <w:pPr>
        <w:spacing w:after="200"/>
        <w:rPr>
          <w:rFonts w:eastAsia="Cambria" w:cs="Times"/>
          <w:b/>
          <w:lang w:eastAsia="es-ES"/>
        </w:rPr>
      </w:pPr>
      <w:r>
        <w:rPr>
          <w:rFonts w:eastAsia="Cambria" w:cs="Times"/>
          <w:b/>
          <w:lang w:eastAsia="es-ES"/>
        </w:rPr>
        <w:br w:type="page"/>
      </w:r>
    </w:p>
    <w:p w14:paraId="2916A50C" w14:textId="72CA10CA" w:rsidR="00C07F04" w:rsidRPr="001455EE" w:rsidRDefault="00C07F04" w:rsidP="004B7451">
      <w:pPr>
        <w:spacing w:after="113" w:line="236" w:lineRule="atLeast"/>
        <w:ind w:right="-8"/>
        <w:rPr>
          <w:rFonts w:eastAsia="Cambria" w:cs="Times"/>
          <w:b/>
          <w:lang w:eastAsia="es-ES"/>
        </w:rPr>
      </w:pPr>
      <w:r w:rsidRPr="001455EE">
        <w:rPr>
          <w:rFonts w:eastAsia="Cambria" w:cs="Times"/>
          <w:b/>
          <w:lang w:eastAsia="es-ES"/>
        </w:rPr>
        <w:lastRenderedPageBreak/>
        <w:t>Table 4.</w:t>
      </w:r>
      <w:r w:rsidR="008C1948" w:rsidRPr="001455EE">
        <w:rPr>
          <w:rFonts w:eastAsia="Cambria" w:cs="Times"/>
          <w:b/>
          <w:lang w:eastAsia="es-ES"/>
        </w:rPr>
        <w:t>2</w:t>
      </w:r>
      <w:r w:rsidRPr="001455EE">
        <w:rPr>
          <w:rFonts w:eastAsia="Cambria" w:cs="Times"/>
          <w:b/>
          <w:lang w:eastAsia="es-ES"/>
        </w:rPr>
        <w:t>:</w:t>
      </w:r>
      <w:r w:rsidRPr="001455EE">
        <w:rPr>
          <w:b/>
        </w:rPr>
        <w:t xml:space="preserve"> Suitable instruments and respondents depending on </w:t>
      </w:r>
      <w:r w:rsidR="001455EE">
        <w:rPr>
          <w:b/>
        </w:rPr>
        <w:br/>
      </w:r>
      <w:r w:rsidRPr="001455EE">
        <w:rPr>
          <w:b/>
        </w:rPr>
        <w:t>identified information needs</w:t>
      </w:r>
    </w:p>
    <w:tbl>
      <w:tblPr>
        <w:tblW w:w="4621" w:type="pct"/>
        <w:jc w:val="center"/>
        <w:tblCellMar>
          <w:left w:w="70" w:type="dxa"/>
          <w:right w:w="70" w:type="dxa"/>
        </w:tblCellMar>
        <w:tblLook w:val="06A0" w:firstRow="1" w:lastRow="0" w:firstColumn="1" w:lastColumn="0" w:noHBand="1" w:noVBand="1"/>
      </w:tblPr>
      <w:tblGrid>
        <w:gridCol w:w="2072"/>
        <w:gridCol w:w="2043"/>
        <w:gridCol w:w="2059"/>
        <w:gridCol w:w="2340"/>
      </w:tblGrid>
      <w:tr w:rsidR="008C1948" w:rsidRPr="00676813" w14:paraId="66C560C0" w14:textId="77777777" w:rsidTr="004B7451">
        <w:trPr>
          <w:trHeight w:val="455"/>
          <w:jc w:val="center"/>
        </w:trPr>
        <w:tc>
          <w:tcPr>
            <w:tcW w:w="1217" w:type="pct"/>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64C696AC" w14:textId="77777777" w:rsidR="008C1948" w:rsidRPr="00676813" w:rsidRDefault="008C1948" w:rsidP="004B7451">
            <w:pPr>
              <w:spacing w:after="0" w:line="240" w:lineRule="auto"/>
              <w:jc w:val="center"/>
              <w:rPr>
                <w:rFonts w:eastAsia="Times New Roman" w:cs="Arial"/>
                <w:b/>
                <w:color w:val="000000"/>
                <w:sz w:val="16"/>
                <w:lang w:val="de-AT" w:eastAsia="de-AT"/>
              </w:rPr>
            </w:pPr>
            <w:r w:rsidRPr="00676813">
              <w:rPr>
                <w:rFonts w:eastAsia="Times New Roman" w:cs="Arial"/>
                <w:b/>
                <w:color w:val="000000"/>
                <w:sz w:val="16"/>
                <w:lang w:val="de-AT" w:eastAsia="de-AT"/>
              </w:rPr>
              <w:t>Information areas</w:t>
            </w:r>
          </w:p>
        </w:tc>
        <w:tc>
          <w:tcPr>
            <w:tcW w:w="1200" w:type="pct"/>
            <w:tcBorders>
              <w:top w:val="single" w:sz="4" w:space="0" w:color="auto"/>
              <w:left w:val="nil"/>
              <w:bottom w:val="nil"/>
              <w:right w:val="single" w:sz="4" w:space="0" w:color="auto"/>
            </w:tcBorders>
            <w:shd w:val="clear" w:color="auto" w:fill="C6D9F1" w:themeFill="text2" w:themeFillTint="33"/>
            <w:vAlign w:val="center"/>
            <w:hideMark/>
          </w:tcPr>
          <w:p w14:paraId="318F321B" w14:textId="77777777" w:rsidR="008C1948" w:rsidRPr="00676813" w:rsidRDefault="008C1948" w:rsidP="001455EE">
            <w:pPr>
              <w:spacing w:after="0" w:line="240" w:lineRule="auto"/>
              <w:jc w:val="center"/>
              <w:rPr>
                <w:rFonts w:eastAsia="Times New Roman" w:cs="Arial"/>
                <w:b/>
                <w:color w:val="000000"/>
                <w:sz w:val="16"/>
                <w:lang w:val="de-AT" w:eastAsia="de-AT"/>
              </w:rPr>
            </w:pPr>
            <w:r w:rsidRPr="00676813">
              <w:rPr>
                <w:rFonts w:eastAsia="Times New Roman" w:cs="Arial"/>
                <w:b/>
                <w:color w:val="000000"/>
                <w:sz w:val="16"/>
                <w:lang w:val="de-AT" w:eastAsia="de-AT"/>
              </w:rPr>
              <w:t xml:space="preserve">Data collection </w:t>
            </w:r>
            <w:r w:rsidR="001455EE">
              <w:rPr>
                <w:rFonts w:eastAsia="Times New Roman" w:cs="Arial"/>
                <w:b/>
                <w:color w:val="000000"/>
                <w:sz w:val="16"/>
                <w:lang w:val="de-AT" w:eastAsia="de-AT"/>
              </w:rPr>
              <w:t>methods</w:t>
            </w:r>
          </w:p>
        </w:tc>
        <w:tc>
          <w:tcPr>
            <w:tcW w:w="1209" w:type="pct"/>
            <w:tcBorders>
              <w:top w:val="single" w:sz="4" w:space="0" w:color="auto"/>
              <w:left w:val="nil"/>
              <w:bottom w:val="nil"/>
              <w:right w:val="single" w:sz="4" w:space="0" w:color="auto"/>
            </w:tcBorders>
            <w:shd w:val="clear" w:color="auto" w:fill="C6D9F1" w:themeFill="text2" w:themeFillTint="33"/>
            <w:vAlign w:val="center"/>
            <w:hideMark/>
          </w:tcPr>
          <w:p w14:paraId="5D8205AE" w14:textId="77777777" w:rsidR="008C1948" w:rsidRPr="00676813" w:rsidRDefault="001455EE" w:rsidP="00565394">
            <w:pPr>
              <w:spacing w:after="0" w:line="240" w:lineRule="auto"/>
              <w:jc w:val="center"/>
              <w:rPr>
                <w:rFonts w:eastAsia="Times New Roman" w:cs="Arial"/>
                <w:b/>
                <w:color w:val="000000"/>
                <w:sz w:val="16"/>
                <w:lang w:val="de-AT" w:eastAsia="de-AT"/>
              </w:rPr>
            </w:pPr>
            <w:r>
              <w:rPr>
                <w:rFonts w:eastAsia="Times New Roman" w:cs="Arial"/>
                <w:b/>
                <w:color w:val="000000"/>
                <w:sz w:val="16"/>
                <w:lang w:val="de-AT" w:eastAsia="de-AT"/>
              </w:rPr>
              <w:t>Data sources</w:t>
            </w:r>
          </w:p>
        </w:tc>
        <w:tc>
          <w:tcPr>
            <w:tcW w:w="1374"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020D62D" w14:textId="77777777" w:rsidR="008C1948" w:rsidRPr="00676813" w:rsidRDefault="008C1948" w:rsidP="001455EE">
            <w:pPr>
              <w:spacing w:after="0" w:line="240" w:lineRule="auto"/>
              <w:jc w:val="center"/>
              <w:rPr>
                <w:rFonts w:eastAsia="Times New Roman" w:cs="Arial"/>
                <w:b/>
                <w:color w:val="000000"/>
                <w:sz w:val="16"/>
                <w:lang w:val="de-AT" w:eastAsia="de-AT"/>
              </w:rPr>
            </w:pPr>
            <w:r w:rsidRPr="00676813">
              <w:rPr>
                <w:rFonts w:eastAsia="Times New Roman" w:cs="Arial"/>
                <w:b/>
                <w:color w:val="000000"/>
                <w:sz w:val="16"/>
                <w:lang w:val="de-AT" w:eastAsia="de-AT"/>
              </w:rPr>
              <w:t xml:space="preserve">Potential </w:t>
            </w:r>
            <w:r w:rsidR="001455EE">
              <w:rPr>
                <w:rFonts w:eastAsia="Times New Roman" w:cs="Arial"/>
                <w:b/>
                <w:color w:val="000000"/>
                <w:sz w:val="16"/>
                <w:lang w:val="de-AT" w:eastAsia="de-AT"/>
              </w:rPr>
              <w:t>data</w:t>
            </w:r>
            <w:r w:rsidRPr="00676813">
              <w:rPr>
                <w:rFonts w:eastAsia="Times New Roman" w:cs="Arial"/>
                <w:b/>
                <w:color w:val="000000"/>
                <w:sz w:val="16"/>
                <w:lang w:val="de-AT" w:eastAsia="de-AT"/>
              </w:rPr>
              <w:t xml:space="preserve"> observed</w:t>
            </w:r>
          </w:p>
        </w:tc>
      </w:tr>
      <w:tr w:rsidR="008C1948" w:rsidRPr="00676813" w14:paraId="124AD941" w14:textId="77777777" w:rsidTr="004B7451">
        <w:trPr>
          <w:trHeight w:val="285"/>
          <w:jc w:val="center"/>
        </w:trPr>
        <w:tc>
          <w:tcPr>
            <w:tcW w:w="1217"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D1D8EE0" w14:textId="5DC1FDF5" w:rsidR="008C1948" w:rsidRPr="0012346F" w:rsidRDefault="008C1948" w:rsidP="00C52B9B">
            <w:pPr>
              <w:spacing w:after="0" w:line="240" w:lineRule="auto"/>
              <w:jc w:val="center"/>
              <w:rPr>
                <w:rFonts w:eastAsia="Times New Roman" w:cs="Arial"/>
                <w:b/>
                <w:color w:val="000000"/>
                <w:sz w:val="16"/>
                <w:lang w:eastAsia="de-AT"/>
              </w:rPr>
            </w:pPr>
            <w:r w:rsidRPr="0012346F">
              <w:rPr>
                <w:rFonts w:eastAsia="Times New Roman" w:cs="Arial"/>
                <w:b/>
                <w:color w:val="000000"/>
                <w:sz w:val="16"/>
                <w:lang w:eastAsia="de-AT"/>
              </w:rPr>
              <w:t xml:space="preserve">Energy supply: Primary production of solid, liquid and gaseous energy </w:t>
            </w:r>
            <w:r w:rsidR="00C52B9B">
              <w:rPr>
                <w:rFonts w:eastAsia="Times New Roman" w:cs="Arial"/>
                <w:b/>
                <w:color w:val="000000"/>
                <w:sz w:val="16"/>
                <w:lang w:eastAsia="de-AT"/>
              </w:rPr>
              <w:t>products</w:t>
            </w:r>
          </w:p>
        </w:tc>
        <w:tc>
          <w:tcPr>
            <w:tcW w:w="120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1FEFB25" w14:textId="77777777" w:rsidR="008C1948" w:rsidRPr="00676813" w:rsidRDefault="002A3969" w:rsidP="000E1C02">
            <w:pPr>
              <w:spacing w:after="0" w:line="240" w:lineRule="auto"/>
              <w:jc w:val="center"/>
              <w:rPr>
                <w:rFonts w:eastAsia="Times New Roman" w:cs="Arial"/>
                <w:color w:val="000000"/>
                <w:sz w:val="16"/>
                <w:lang w:val="de-AT" w:eastAsia="de-AT"/>
              </w:rPr>
            </w:pPr>
            <w:r>
              <w:rPr>
                <w:rFonts w:eastAsia="Times New Roman" w:cs="Arial"/>
                <w:color w:val="000000"/>
                <w:sz w:val="16"/>
                <w:lang w:val="de-AT" w:eastAsia="de-AT"/>
              </w:rPr>
              <w:t>administrative data</w:t>
            </w:r>
          </w:p>
        </w:tc>
        <w:tc>
          <w:tcPr>
            <w:tcW w:w="1209"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DF59721" w14:textId="77777777" w:rsidR="008C1948" w:rsidRPr="00676813" w:rsidRDefault="008C1948" w:rsidP="000E1C02">
            <w:pPr>
              <w:spacing w:after="0" w:line="240" w:lineRule="auto"/>
              <w:jc w:val="center"/>
              <w:rPr>
                <w:rFonts w:eastAsia="Times New Roman" w:cs="Arial"/>
                <w:color w:val="000000"/>
                <w:sz w:val="16"/>
                <w:lang w:val="de-AT" w:eastAsia="de-AT"/>
              </w:rPr>
            </w:pPr>
            <w:r w:rsidRPr="00676813">
              <w:rPr>
                <w:rFonts w:eastAsia="Times New Roman" w:cs="Arial"/>
                <w:color w:val="000000"/>
                <w:sz w:val="16"/>
                <w:lang w:val="de-AT" w:eastAsia="de-AT"/>
              </w:rPr>
              <w:t>data owners</w:t>
            </w:r>
          </w:p>
        </w:tc>
        <w:tc>
          <w:tcPr>
            <w:tcW w:w="1374" w:type="pct"/>
            <w:tcBorders>
              <w:top w:val="single" w:sz="4" w:space="0" w:color="auto"/>
              <w:left w:val="nil"/>
              <w:right w:val="single" w:sz="4" w:space="0" w:color="auto"/>
            </w:tcBorders>
            <w:shd w:val="clear" w:color="auto" w:fill="auto"/>
            <w:vAlign w:val="center"/>
            <w:hideMark/>
          </w:tcPr>
          <w:p w14:paraId="71B39AE9" w14:textId="4CB1F5F2" w:rsidR="008C1948" w:rsidRPr="00676813" w:rsidRDefault="00712421" w:rsidP="00676813">
            <w:pPr>
              <w:spacing w:after="0" w:line="240" w:lineRule="auto"/>
              <w:jc w:val="center"/>
              <w:rPr>
                <w:rFonts w:eastAsia="Times New Roman" w:cs="Arial"/>
                <w:color w:val="000000"/>
                <w:sz w:val="16"/>
                <w:lang w:val="de-AT" w:eastAsia="de-AT"/>
              </w:rPr>
            </w:pPr>
            <w:r>
              <w:rPr>
                <w:rFonts w:eastAsia="Times New Roman" w:cs="Arial"/>
                <w:color w:val="000000"/>
                <w:sz w:val="16"/>
                <w:lang w:val="de-AT" w:eastAsia="de-AT"/>
              </w:rPr>
              <w:t>c</w:t>
            </w:r>
            <w:r w:rsidR="008C1948">
              <w:rPr>
                <w:rFonts w:eastAsia="Times New Roman" w:cs="Arial"/>
                <w:color w:val="000000"/>
                <w:sz w:val="16"/>
                <w:lang w:val="de-AT" w:eastAsia="de-AT"/>
              </w:rPr>
              <w:t xml:space="preserve">oal </w:t>
            </w:r>
            <w:r w:rsidR="008C1948" w:rsidRPr="00676813">
              <w:rPr>
                <w:rFonts w:eastAsia="Times New Roman" w:cs="Arial"/>
                <w:color w:val="000000"/>
                <w:sz w:val="16"/>
                <w:lang w:val="de-AT" w:eastAsia="de-AT"/>
              </w:rPr>
              <w:t xml:space="preserve">production </w:t>
            </w:r>
          </w:p>
        </w:tc>
      </w:tr>
      <w:tr w:rsidR="008C1948" w:rsidRPr="00676813" w14:paraId="6ECC11C2" w14:textId="77777777" w:rsidTr="004B7451">
        <w:trPr>
          <w:trHeight w:val="285"/>
          <w:jc w:val="center"/>
        </w:trPr>
        <w:tc>
          <w:tcPr>
            <w:tcW w:w="1217" w:type="pct"/>
            <w:vMerge/>
            <w:tcBorders>
              <w:top w:val="single" w:sz="8" w:space="0" w:color="auto"/>
              <w:left w:val="single" w:sz="8" w:space="0" w:color="auto"/>
              <w:bottom w:val="single" w:sz="8" w:space="0" w:color="000000"/>
              <w:right w:val="single" w:sz="4" w:space="0" w:color="auto"/>
            </w:tcBorders>
            <w:vAlign w:val="center"/>
            <w:hideMark/>
          </w:tcPr>
          <w:p w14:paraId="5C7D48C9" w14:textId="77777777" w:rsidR="008C1948" w:rsidRPr="00676813" w:rsidRDefault="008C1948" w:rsidP="000E1C02">
            <w:pPr>
              <w:spacing w:after="0" w:line="240" w:lineRule="auto"/>
              <w:rPr>
                <w:rFonts w:eastAsia="Times New Roman" w:cs="Arial"/>
                <w:b/>
                <w:color w:val="000000"/>
                <w:sz w:val="16"/>
                <w:lang w:eastAsia="de-AT"/>
              </w:rPr>
            </w:pPr>
          </w:p>
        </w:tc>
        <w:tc>
          <w:tcPr>
            <w:tcW w:w="1200" w:type="pct"/>
            <w:vMerge/>
            <w:tcBorders>
              <w:top w:val="single" w:sz="8" w:space="0" w:color="auto"/>
              <w:left w:val="single" w:sz="4" w:space="0" w:color="auto"/>
              <w:bottom w:val="single" w:sz="4" w:space="0" w:color="auto"/>
              <w:right w:val="single" w:sz="4" w:space="0" w:color="auto"/>
            </w:tcBorders>
            <w:vAlign w:val="center"/>
            <w:hideMark/>
          </w:tcPr>
          <w:p w14:paraId="4D5E2D5F" w14:textId="77777777" w:rsidR="008C1948" w:rsidRPr="00676813" w:rsidRDefault="008C1948" w:rsidP="000E1C02">
            <w:pPr>
              <w:spacing w:after="0" w:line="240" w:lineRule="auto"/>
              <w:rPr>
                <w:rFonts w:eastAsia="Times New Roman" w:cs="Arial"/>
                <w:color w:val="000000"/>
                <w:sz w:val="16"/>
                <w:lang w:eastAsia="de-AT"/>
              </w:rPr>
            </w:pPr>
          </w:p>
        </w:tc>
        <w:tc>
          <w:tcPr>
            <w:tcW w:w="1209" w:type="pct"/>
            <w:vMerge/>
            <w:tcBorders>
              <w:top w:val="single" w:sz="8" w:space="0" w:color="auto"/>
              <w:left w:val="single" w:sz="4" w:space="0" w:color="auto"/>
              <w:bottom w:val="single" w:sz="4" w:space="0" w:color="auto"/>
              <w:right w:val="single" w:sz="4" w:space="0" w:color="auto"/>
            </w:tcBorders>
            <w:vAlign w:val="center"/>
            <w:hideMark/>
          </w:tcPr>
          <w:p w14:paraId="30FF73FF" w14:textId="77777777" w:rsidR="008C1948" w:rsidRPr="00676813" w:rsidRDefault="008C1948" w:rsidP="000E1C02">
            <w:pPr>
              <w:spacing w:after="0" w:line="240" w:lineRule="auto"/>
              <w:rPr>
                <w:rFonts w:eastAsia="Times New Roman" w:cs="Arial"/>
                <w:color w:val="000000"/>
                <w:sz w:val="16"/>
                <w:lang w:eastAsia="de-AT"/>
              </w:rPr>
            </w:pPr>
          </w:p>
        </w:tc>
        <w:tc>
          <w:tcPr>
            <w:tcW w:w="1374" w:type="pct"/>
            <w:tcBorders>
              <w:top w:val="nil"/>
              <w:left w:val="nil"/>
              <w:right w:val="single" w:sz="4" w:space="0" w:color="auto"/>
            </w:tcBorders>
            <w:shd w:val="clear" w:color="auto" w:fill="auto"/>
            <w:vAlign w:val="center"/>
            <w:hideMark/>
          </w:tcPr>
          <w:p w14:paraId="5311D959" w14:textId="481D08DD" w:rsidR="008C1948" w:rsidRPr="00676813" w:rsidRDefault="00712421" w:rsidP="00457F45">
            <w:pPr>
              <w:spacing w:after="0" w:line="240" w:lineRule="auto"/>
              <w:jc w:val="center"/>
              <w:rPr>
                <w:rFonts w:eastAsia="Times New Roman" w:cs="Arial"/>
                <w:color w:val="000000"/>
                <w:sz w:val="16"/>
                <w:lang w:eastAsia="de-AT"/>
              </w:rPr>
            </w:pPr>
            <w:r>
              <w:rPr>
                <w:rFonts w:eastAsia="Times New Roman" w:cs="Arial"/>
                <w:color w:val="000000"/>
                <w:sz w:val="16"/>
                <w:lang w:eastAsia="de-AT"/>
              </w:rPr>
              <w:t>c</w:t>
            </w:r>
            <w:r w:rsidR="008C1948">
              <w:rPr>
                <w:rFonts w:eastAsia="Times New Roman" w:cs="Arial"/>
                <w:color w:val="000000"/>
                <w:sz w:val="16"/>
                <w:lang w:eastAsia="de-AT"/>
              </w:rPr>
              <w:t>rude oil production</w:t>
            </w:r>
          </w:p>
        </w:tc>
      </w:tr>
      <w:tr w:rsidR="008C1948" w:rsidRPr="00676813" w14:paraId="7DA5976C" w14:textId="77777777" w:rsidTr="004B7451">
        <w:trPr>
          <w:trHeight w:val="285"/>
          <w:jc w:val="center"/>
        </w:trPr>
        <w:tc>
          <w:tcPr>
            <w:tcW w:w="1217" w:type="pct"/>
            <w:vMerge/>
            <w:tcBorders>
              <w:top w:val="single" w:sz="8" w:space="0" w:color="auto"/>
              <w:left w:val="single" w:sz="8" w:space="0" w:color="auto"/>
              <w:bottom w:val="single" w:sz="8" w:space="0" w:color="000000"/>
              <w:right w:val="single" w:sz="4" w:space="0" w:color="auto"/>
            </w:tcBorders>
            <w:vAlign w:val="center"/>
            <w:hideMark/>
          </w:tcPr>
          <w:p w14:paraId="25D224EE" w14:textId="77777777" w:rsidR="008C1948" w:rsidRPr="00676813" w:rsidRDefault="008C1948" w:rsidP="000E1C02">
            <w:pPr>
              <w:spacing w:after="0" w:line="240" w:lineRule="auto"/>
              <w:rPr>
                <w:rFonts w:eastAsia="Times New Roman" w:cs="Arial"/>
                <w:b/>
                <w:color w:val="000000"/>
                <w:sz w:val="16"/>
                <w:lang w:eastAsia="de-AT"/>
              </w:rPr>
            </w:pPr>
          </w:p>
        </w:tc>
        <w:tc>
          <w:tcPr>
            <w:tcW w:w="1200" w:type="pct"/>
            <w:vMerge w:val="restart"/>
            <w:tcBorders>
              <w:top w:val="nil"/>
              <w:left w:val="single" w:sz="4" w:space="0" w:color="auto"/>
              <w:bottom w:val="single" w:sz="8" w:space="0" w:color="000000"/>
              <w:right w:val="single" w:sz="4" w:space="0" w:color="auto"/>
            </w:tcBorders>
            <w:shd w:val="clear" w:color="auto" w:fill="auto"/>
            <w:vAlign w:val="center"/>
            <w:hideMark/>
          </w:tcPr>
          <w:p w14:paraId="09DF9635" w14:textId="77777777" w:rsidR="008C1948" w:rsidRPr="00676813" w:rsidRDefault="008C1948" w:rsidP="00B823E8">
            <w:pPr>
              <w:spacing w:after="0" w:line="240" w:lineRule="auto"/>
              <w:jc w:val="center"/>
              <w:rPr>
                <w:rFonts w:eastAsia="Times New Roman" w:cs="Arial"/>
                <w:color w:val="000000"/>
                <w:sz w:val="16"/>
                <w:lang w:val="de-AT" w:eastAsia="de-AT"/>
              </w:rPr>
            </w:pPr>
            <w:r w:rsidRPr="00676813">
              <w:rPr>
                <w:rFonts w:eastAsia="Times New Roman" w:cs="Arial"/>
                <w:color w:val="000000"/>
                <w:sz w:val="16"/>
                <w:lang w:val="de-AT" w:eastAsia="de-AT"/>
              </w:rPr>
              <w:t>census/ sample</w:t>
            </w:r>
            <w:r w:rsidR="00B823E8">
              <w:rPr>
                <w:rFonts w:eastAsia="Times New Roman" w:cs="Arial"/>
                <w:color w:val="000000"/>
                <w:sz w:val="16"/>
                <w:lang w:val="de-AT" w:eastAsia="de-AT"/>
              </w:rPr>
              <w:t xml:space="preserve"> survey</w:t>
            </w:r>
          </w:p>
        </w:tc>
        <w:tc>
          <w:tcPr>
            <w:tcW w:w="1209" w:type="pct"/>
            <w:tcBorders>
              <w:top w:val="nil"/>
              <w:left w:val="nil"/>
              <w:bottom w:val="single" w:sz="4" w:space="0" w:color="auto"/>
              <w:right w:val="single" w:sz="4" w:space="0" w:color="auto"/>
            </w:tcBorders>
            <w:shd w:val="clear" w:color="auto" w:fill="auto"/>
            <w:vAlign w:val="center"/>
            <w:hideMark/>
          </w:tcPr>
          <w:p w14:paraId="61921744" w14:textId="226E6689" w:rsidR="008C1948" w:rsidRPr="00676813" w:rsidRDefault="005F1FEC" w:rsidP="00BE54F3">
            <w:pPr>
              <w:spacing w:after="0" w:line="240" w:lineRule="auto"/>
              <w:jc w:val="center"/>
              <w:rPr>
                <w:rFonts w:eastAsia="Times New Roman" w:cs="Arial"/>
                <w:color w:val="000000"/>
                <w:sz w:val="16"/>
                <w:lang w:eastAsia="de-AT"/>
              </w:rPr>
            </w:pPr>
            <w:r>
              <w:rPr>
                <w:rFonts w:eastAsia="Times New Roman" w:cs="Arial"/>
                <w:color w:val="000000"/>
                <w:sz w:val="16"/>
                <w:lang w:eastAsia="de-AT"/>
              </w:rPr>
              <w:t>entities in the m</w:t>
            </w:r>
            <w:r w:rsidR="008C1948" w:rsidRPr="00676813">
              <w:rPr>
                <w:rFonts w:eastAsia="Times New Roman" w:cs="Arial"/>
                <w:color w:val="000000"/>
                <w:sz w:val="16"/>
                <w:lang w:eastAsia="de-AT"/>
              </w:rPr>
              <w:t>ining industry (</w:t>
            </w:r>
            <w:r>
              <w:rPr>
                <w:rFonts w:eastAsia="Times New Roman" w:cs="Arial"/>
                <w:color w:val="000000"/>
                <w:sz w:val="16"/>
                <w:lang w:eastAsia="de-AT"/>
              </w:rPr>
              <w:t>c</w:t>
            </w:r>
            <w:r w:rsidR="008C1948" w:rsidRPr="00676813">
              <w:rPr>
                <w:rFonts w:eastAsia="Times New Roman" w:cs="Arial"/>
                <w:color w:val="000000"/>
                <w:sz w:val="16"/>
                <w:lang w:eastAsia="de-AT"/>
              </w:rPr>
              <w:t>oal</w:t>
            </w:r>
            <w:r>
              <w:rPr>
                <w:rFonts w:eastAsia="Times New Roman" w:cs="Arial"/>
                <w:color w:val="000000"/>
                <w:sz w:val="16"/>
                <w:lang w:eastAsia="de-AT"/>
              </w:rPr>
              <w:t>,</w:t>
            </w:r>
            <w:r w:rsidR="008C1948" w:rsidRPr="00676813">
              <w:rPr>
                <w:rFonts w:eastAsia="Times New Roman" w:cs="Arial"/>
                <w:color w:val="000000"/>
                <w:sz w:val="16"/>
                <w:lang w:eastAsia="de-AT"/>
              </w:rPr>
              <w:t xml:space="preserve"> oil, gas)</w:t>
            </w:r>
          </w:p>
        </w:tc>
        <w:tc>
          <w:tcPr>
            <w:tcW w:w="1374" w:type="pct"/>
            <w:tcBorders>
              <w:top w:val="nil"/>
              <w:left w:val="nil"/>
              <w:bottom w:val="single" w:sz="4" w:space="0" w:color="auto"/>
              <w:right w:val="single" w:sz="4" w:space="0" w:color="auto"/>
            </w:tcBorders>
            <w:shd w:val="clear" w:color="auto" w:fill="auto"/>
            <w:vAlign w:val="center"/>
            <w:hideMark/>
          </w:tcPr>
          <w:p w14:paraId="3C936565" w14:textId="39776B8E" w:rsidR="008C1948" w:rsidRPr="00676813" w:rsidRDefault="00712421" w:rsidP="00676813">
            <w:pPr>
              <w:spacing w:after="0" w:line="240" w:lineRule="auto"/>
              <w:jc w:val="center"/>
              <w:rPr>
                <w:rFonts w:eastAsia="Times New Roman" w:cs="Arial"/>
                <w:color w:val="000000"/>
                <w:sz w:val="16"/>
                <w:lang w:eastAsia="de-AT"/>
              </w:rPr>
            </w:pPr>
            <w:r>
              <w:rPr>
                <w:rFonts w:eastAsia="Times New Roman" w:cs="Arial"/>
                <w:color w:val="000000"/>
                <w:sz w:val="16"/>
                <w:lang w:eastAsia="de-AT"/>
              </w:rPr>
              <w:t>n</w:t>
            </w:r>
            <w:r w:rsidR="008C1948" w:rsidRPr="00676813">
              <w:rPr>
                <w:rFonts w:eastAsia="Times New Roman" w:cs="Arial"/>
                <w:color w:val="000000"/>
                <w:sz w:val="16"/>
                <w:lang w:eastAsia="de-AT"/>
              </w:rPr>
              <w:t xml:space="preserve">atural </w:t>
            </w:r>
            <w:r>
              <w:rPr>
                <w:rFonts w:eastAsia="Times New Roman" w:cs="Arial"/>
                <w:color w:val="000000"/>
                <w:sz w:val="16"/>
                <w:lang w:eastAsia="de-AT"/>
              </w:rPr>
              <w:t>g</w:t>
            </w:r>
            <w:r w:rsidR="008C1948" w:rsidRPr="00676813">
              <w:rPr>
                <w:rFonts w:eastAsia="Times New Roman" w:cs="Arial"/>
                <w:color w:val="000000"/>
                <w:sz w:val="16"/>
                <w:lang w:eastAsia="de-AT"/>
              </w:rPr>
              <w:t xml:space="preserve">as </w:t>
            </w:r>
            <w:r>
              <w:rPr>
                <w:rFonts w:eastAsia="Times New Roman" w:cs="Arial"/>
                <w:color w:val="000000"/>
                <w:sz w:val="16"/>
                <w:lang w:eastAsia="de-AT"/>
              </w:rPr>
              <w:t>production</w:t>
            </w:r>
          </w:p>
        </w:tc>
      </w:tr>
      <w:tr w:rsidR="008C1948" w:rsidRPr="00676813" w14:paraId="475EE455" w14:textId="77777777" w:rsidTr="004B7451">
        <w:trPr>
          <w:trHeight w:val="300"/>
          <w:jc w:val="center"/>
        </w:trPr>
        <w:tc>
          <w:tcPr>
            <w:tcW w:w="1217" w:type="pct"/>
            <w:vMerge/>
            <w:tcBorders>
              <w:top w:val="single" w:sz="8" w:space="0" w:color="auto"/>
              <w:left w:val="single" w:sz="8" w:space="0" w:color="auto"/>
              <w:bottom w:val="single" w:sz="8" w:space="0" w:color="000000"/>
              <w:right w:val="single" w:sz="4" w:space="0" w:color="auto"/>
            </w:tcBorders>
            <w:vAlign w:val="center"/>
            <w:hideMark/>
          </w:tcPr>
          <w:p w14:paraId="54AF123A" w14:textId="77777777" w:rsidR="008C1948" w:rsidRPr="00676813" w:rsidRDefault="008C1948" w:rsidP="000E1C02">
            <w:pPr>
              <w:spacing w:after="0" w:line="240" w:lineRule="auto"/>
              <w:rPr>
                <w:rFonts w:eastAsia="Times New Roman" w:cs="Arial"/>
                <w:b/>
                <w:color w:val="000000"/>
                <w:sz w:val="16"/>
                <w:lang w:eastAsia="de-AT"/>
              </w:rPr>
            </w:pPr>
          </w:p>
        </w:tc>
        <w:tc>
          <w:tcPr>
            <w:tcW w:w="1200" w:type="pct"/>
            <w:vMerge/>
            <w:tcBorders>
              <w:top w:val="nil"/>
              <w:left w:val="single" w:sz="4" w:space="0" w:color="auto"/>
              <w:bottom w:val="single" w:sz="8" w:space="0" w:color="000000"/>
              <w:right w:val="single" w:sz="4" w:space="0" w:color="auto"/>
            </w:tcBorders>
            <w:vAlign w:val="center"/>
            <w:hideMark/>
          </w:tcPr>
          <w:p w14:paraId="5B5B2EFC" w14:textId="77777777" w:rsidR="008C1948" w:rsidRPr="00676813" w:rsidRDefault="008C1948" w:rsidP="000E1C02">
            <w:pPr>
              <w:spacing w:after="0" w:line="240" w:lineRule="auto"/>
              <w:rPr>
                <w:rFonts w:eastAsia="Times New Roman" w:cs="Arial"/>
                <w:color w:val="000000"/>
                <w:sz w:val="16"/>
                <w:lang w:eastAsia="de-AT"/>
              </w:rPr>
            </w:pPr>
          </w:p>
        </w:tc>
        <w:tc>
          <w:tcPr>
            <w:tcW w:w="1209" w:type="pct"/>
            <w:tcBorders>
              <w:top w:val="nil"/>
              <w:left w:val="nil"/>
              <w:bottom w:val="single" w:sz="8" w:space="0" w:color="auto"/>
              <w:right w:val="single" w:sz="4" w:space="0" w:color="auto"/>
            </w:tcBorders>
            <w:shd w:val="clear" w:color="auto" w:fill="auto"/>
            <w:vAlign w:val="center"/>
            <w:hideMark/>
          </w:tcPr>
          <w:p w14:paraId="5D56EEC4" w14:textId="39170339" w:rsidR="008C1948" w:rsidRPr="004B7451" w:rsidRDefault="00FA14F4" w:rsidP="00FA14F4">
            <w:pPr>
              <w:spacing w:after="0" w:line="240" w:lineRule="auto"/>
              <w:jc w:val="center"/>
              <w:rPr>
                <w:rFonts w:eastAsia="Times New Roman" w:cs="Arial"/>
                <w:color w:val="000000"/>
                <w:sz w:val="16"/>
                <w:lang w:eastAsia="de-AT"/>
              </w:rPr>
            </w:pPr>
            <w:r>
              <w:rPr>
                <w:rFonts w:eastAsia="Times New Roman" w:cs="Arial"/>
                <w:color w:val="000000"/>
                <w:sz w:val="16"/>
                <w:lang w:eastAsia="de-AT"/>
              </w:rPr>
              <w:t xml:space="preserve">entities in the </w:t>
            </w:r>
            <w:r w:rsidRPr="004B7451">
              <w:rPr>
                <w:rFonts w:eastAsia="Times New Roman" w:cs="Arial"/>
                <w:color w:val="000000"/>
                <w:sz w:val="16"/>
                <w:lang w:eastAsia="de-AT"/>
              </w:rPr>
              <w:t>f</w:t>
            </w:r>
            <w:r w:rsidR="008C1948" w:rsidRPr="004B7451">
              <w:rPr>
                <w:rFonts w:eastAsia="Times New Roman" w:cs="Arial"/>
                <w:color w:val="000000"/>
                <w:sz w:val="16"/>
                <w:lang w:eastAsia="de-AT"/>
              </w:rPr>
              <w:t>orestry, agriculture</w:t>
            </w:r>
            <w:r w:rsidRPr="004B7451">
              <w:rPr>
                <w:rFonts w:eastAsia="Times New Roman" w:cs="Arial"/>
                <w:color w:val="000000"/>
                <w:sz w:val="16"/>
                <w:lang w:eastAsia="de-AT"/>
              </w:rPr>
              <w:t xml:space="preserve"> or other related </w:t>
            </w:r>
            <w:r w:rsidR="008C1948" w:rsidRPr="004B7451">
              <w:rPr>
                <w:rFonts w:eastAsia="Times New Roman" w:cs="Arial"/>
                <w:color w:val="000000"/>
                <w:sz w:val="16"/>
                <w:lang w:eastAsia="de-AT"/>
              </w:rPr>
              <w:t>industries</w:t>
            </w:r>
          </w:p>
        </w:tc>
        <w:tc>
          <w:tcPr>
            <w:tcW w:w="1374" w:type="pct"/>
            <w:tcBorders>
              <w:top w:val="single" w:sz="4" w:space="0" w:color="auto"/>
              <w:left w:val="nil"/>
              <w:bottom w:val="single" w:sz="8" w:space="0" w:color="auto"/>
              <w:right w:val="single" w:sz="4" w:space="0" w:color="auto"/>
            </w:tcBorders>
            <w:shd w:val="clear" w:color="auto" w:fill="auto"/>
            <w:vAlign w:val="center"/>
            <w:hideMark/>
          </w:tcPr>
          <w:p w14:paraId="6B12B2B6" w14:textId="14807BA0" w:rsidR="008C1948" w:rsidRPr="00676813" w:rsidRDefault="00712421" w:rsidP="00457F45">
            <w:pPr>
              <w:spacing w:after="0" w:line="240" w:lineRule="auto"/>
              <w:jc w:val="center"/>
              <w:rPr>
                <w:rFonts w:eastAsia="Times New Roman" w:cs="Arial"/>
                <w:color w:val="000000"/>
                <w:sz w:val="16"/>
                <w:lang w:val="de-AT" w:eastAsia="de-AT"/>
              </w:rPr>
            </w:pPr>
            <w:r>
              <w:rPr>
                <w:rFonts w:eastAsia="Times New Roman" w:cs="Arial"/>
                <w:color w:val="000000"/>
                <w:sz w:val="16"/>
                <w:lang w:eastAsia="de-AT"/>
              </w:rPr>
              <w:t>b</w:t>
            </w:r>
            <w:r w:rsidR="008C1948">
              <w:rPr>
                <w:rFonts w:eastAsia="Times New Roman" w:cs="Arial"/>
                <w:color w:val="000000"/>
                <w:sz w:val="16"/>
                <w:lang w:eastAsia="de-AT"/>
              </w:rPr>
              <w:t>iofuel</w:t>
            </w:r>
            <w:r w:rsidR="008C1948" w:rsidRPr="00676813">
              <w:rPr>
                <w:rFonts w:eastAsia="Times New Roman" w:cs="Arial"/>
                <w:color w:val="000000"/>
                <w:sz w:val="16"/>
                <w:lang w:eastAsia="de-AT"/>
              </w:rPr>
              <w:t xml:space="preserve"> production</w:t>
            </w:r>
          </w:p>
        </w:tc>
      </w:tr>
      <w:tr w:rsidR="008C1948" w:rsidRPr="00676813" w14:paraId="43A9B456" w14:textId="77777777" w:rsidTr="004B7451">
        <w:trPr>
          <w:trHeight w:val="285"/>
          <w:jc w:val="center"/>
        </w:trPr>
        <w:tc>
          <w:tcPr>
            <w:tcW w:w="1217" w:type="pct"/>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1E6A603B" w14:textId="77777777" w:rsidR="008C1948" w:rsidRPr="0012346F" w:rsidRDefault="008C1948" w:rsidP="00676813">
            <w:pPr>
              <w:spacing w:after="0" w:line="240" w:lineRule="auto"/>
              <w:jc w:val="center"/>
              <w:rPr>
                <w:rFonts w:eastAsia="Times New Roman" w:cs="Arial"/>
                <w:b/>
                <w:color w:val="000000"/>
                <w:sz w:val="16"/>
                <w:lang w:eastAsia="de-AT"/>
              </w:rPr>
            </w:pPr>
            <w:r w:rsidRPr="0012346F">
              <w:rPr>
                <w:rFonts w:eastAsia="Times New Roman" w:cs="Arial"/>
                <w:b/>
                <w:color w:val="000000"/>
                <w:sz w:val="16"/>
                <w:lang w:eastAsia="de-AT"/>
              </w:rPr>
              <w:t>Energy supply:</w:t>
            </w:r>
          </w:p>
          <w:p w14:paraId="71FA789E" w14:textId="77777777" w:rsidR="008C1948" w:rsidRPr="0012346F" w:rsidRDefault="008C1948" w:rsidP="0012346F">
            <w:pPr>
              <w:spacing w:after="0" w:line="240" w:lineRule="auto"/>
              <w:jc w:val="center"/>
              <w:rPr>
                <w:rFonts w:eastAsia="Times New Roman" w:cs="Arial"/>
                <w:b/>
                <w:color w:val="000000"/>
                <w:sz w:val="16"/>
                <w:lang w:eastAsia="de-AT"/>
              </w:rPr>
            </w:pPr>
            <w:r w:rsidRPr="0012346F">
              <w:rPr>
                <w:rFonts w:eastAsia="Times New Roman" w:cs="Arial"/>
                <w:b/>
                <w:color w:val="000000"/>
                <w:sz w:val="16"/>
                <w:lang w:eastAsia="de-AT"/>
              </w:rPr>
              <w:t>Primary electricity, prima</w:t>
            </w:r>
            <w:r>
              <w:rPr>
                <w:rFonts w:eastAsia="Times New Roman" w:cs="Arial"/>
                <w:b/>
                <w:color w:val="000000"/>
                <w:sz w:val="16"/>
                <w:lang w:eastAsia="de-AT"/>
              </w:rPr>
              <w:t>r</w:t>
            </w:r>
            <w:r w:rsidRPr="0012346F">
              <w:rPr>
                <w:rFonts w:eastAsia="Times New Roman" w:cs="Arial"/>
                <w:b/>
                <w:color w:val="000000"/>
                <w:sz w:val="16"/>
                <w:lang w:eastAsia="de-AT"/>
              </w:rPr>
              <w:t>y heat</w:t>
            </w:r>
          </w:p>
        </w:tc>
        <w:tc>
          <w:tcPr>
            <w:tcW w:w="1200"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246A7" w14:textId="77777777" w:rsidR="008C1948" w:rsidRPr="00676813" w:rsidRDefault="002A3969" w:rsidP="00676813">
            <w:pPr>
              <w:spacing w:after="0" w:line="240" w:lineRule="auto"/>
              <w:jc w:val="center"/>
              <w:rPr>
                <w:rFonts w:eastAsia="Times New Roman" w:cs="Arial"/>
                <w:color w:val="000000"/>
                <w:sz w:val="16"/>
                <w:lang w:val="de-AT" w:eastAsia="de-AT"/>
              </w:rPr>
            </w:pPr>
            <w:r>
              <w:rPr>
                <w:rFonts w:eastAsia="Times New Roman" w:cs="Arial"/>
                <w:color w:val="000000"/>
                <w:sz w:val="16"/>
                <w:lang w:val="de-AT" w:eastAsia="de-AT"/>
              </w:rPr>
              <w:t>administrative data</w:t>
            </w:r>
          </w:p>
        </w:tc>
        <w:tc>
          <w:tcPr>
            <w:tcW w:w="1209"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8D34E1" w14:textId="77777777" w:rsidR="008C1948" w:rsidRPr="00676813" w:rsidRDefault="008C1948" w:rsidP="00676813">
            <w:pPr>
              <w:spacing w:after="0" w:line="240" w:lineRule="auto"/>
              <w:jc w:val="center"/>
              <w:rPr>
                <w:rFonts w:eastAsia="Times New Roman" w:cs="Arial"/>
                <w:color w:val="000000"/>
                <w:sz w:val="16"/>
                <w:lang w:val="de-AT" w:eastAsia="de-AT"/>
              </w:rPr>
            </w:pPr>
            <w:r w:rsidRPr="00676813">
              <w:rPr>
                <w:rFonts w:eastAsia="Times New Roman" w:cs="Arial"/>
                <w:color w:val="000000"/>
                <w:sz w:val="16"/>
                <w:lang w:val="de-AT" w:eastAsia="de-AT"/>
              </w:rPr>
              <w:t>data owners</w:t>
            </w:r>
          </w:p>
        </w:tc>
        <w:tc>
          <w:tcPr>
            <w:tcW w:w="1374" w:type="pct"/>
            <w:tcBorders>
              <w:top w:val="single" w:sz="4" w:space="0" w:color="auto"/>
              <w:left w:val="nil"/>
              <w:right w:val="single" w:sz="4" w:space="0" w:color="auto"/>
            </w:tcBorders>
            <w:shd w:val="clear" w:color="auto" w:fill="D9D9D9" w:themeFill="background1" w:themeFillShade="D9"/>
            <w:vAlign w:val="center"/>
            <w:hideMark/>
          </w:tcPr>
          <w:p w14:paraId="19328F21" w14:textId="42E3739B" w:rsidR="008C1948" w:rsidRPr="0012346F" w:rsidRDefault="007B0ADD" w:rsidP="00873546">
            <w:pPr>
              <w:spacing w:after="0" w:line="240" w:lineRule="auto"/>
              <w:jc w:val="center"/>
              <w:rPr>
                <w:rFonts w:eastAsia="Times New Roman" w:cs="Arial"/>
                <w:color w:val="000000"/>
                <w:sz w:val="16"/>
                <w:lang w:eastAsia="de-AT"/>
              </w:rPr>
            </w:pPr>
            <w:r>
              <w:rPr>
                <w:rFonts w:eastAsia="Times New Roman" w:cs="Arial"/>
                <w:color w:val="000000"/>
                <w:sz w:val="16"/>
                <w:lang w:eastAsia="de-AT"/>
              </w:rPr>
              <w:t>e</w:t>
            </w:r>
            <w:r w:rsidR="008C1948" w:rsidRPr="0012346F">
              <w:rPr>
                <w:rFonts w:eastAsia="Times New Roman" w:cs="Arial"/>
                <w:color w:val="000000"/>
                <w:sz w:val="16"/>
                <w:lang w:eastAsia="de-AT"/>
              </w:rPr>
              <w:t>lectricity generation from hydro, wind, tide,</w:t>
            </w:r>
            <w:r w:rsidR="00A421A3">
              <w:rPr>
                <w:rFonts w:eastAsia="Times New Roman" w:cs="Arial"/>
                <w:color w:val="000000"/>
                <w:sz w:val="16"/>
                <w:lang w:eastAsia="de-AT"/>
              </w:rPr>
              <w:t xml:space="preserve"> etc.</w:t>
            </w:r>
          </w:p>
        </w:tc>
      </w:tr>
      <w:tr w:rsidR="008C1948" w:rsidRPr="00676813" w14:paraId="19D0B85F" w14:textId="77777777" w:rsidTr="004B7451">
        <w:trPr>
          <w:trHeight w:val="285"/>
          <w:jc w:val="center"/>
        </w:trPr>
        <w:tc>
          <w:tcPr>
            <w:tcW w:w="1217" w:type="pct"/>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60782ECB" w14:textId="77777777" w:rsidR="008C1948" w:rsidRPr="00676813" w:rsidRDefault="008C1948" w:rsidP="00676813">
            <w:pPr>
              <w:spacing w:after="0" w:line="240" w:lineRule="auto"/>
              <w:rPr>
                <w:rFonts w:eastAsia="Times New Roman" w:cs="Arial"/>
                <w:b/>
                <w:color w:val="000000"/>
                <w:sz w:val="16"/>
                <w:lang w:eastAsia="de-AT"/>
              </w:rPr>
            </w:pPr>
          </w:p>
        </w:tc>
        <w:tc>
          <w:tcPr>
            <w:tcW w:w="1200"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A7FCA1" w14:textId="77777777" w:rsidR="008C1948" w:rsidRPr="00676813" w:rsidRDefault="008C1948" w:rsidP="00676813">
            <w:pPr>
              <w:spacing w:after="0" w:line="240" w:lineRule="auto"/>
              <w:rPr>
                <w:rFonts w:eastAsia="Times New Roman" w:cs="Arial"/>
                <w:color w:val="000000"/>
                <w:sz w:val="16"/>
                <w:lang w:eastAsia="de-AT"/>
              </w:rPr>
            </w:pPr>
          </w:p>
        </w:tc>
        <w:tc>
          <w:tcPr>
            <w:tcW w:w="1209"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93B95B" w14:textId="77777777" w:rsidR="008C1948" w:rsidRPr="00676813" w:rsidRDefault="008C1948" w:rsidP="00676813">
            <w:pPr>
              <w:spacing w:after="0" w:line="240" w:lineRule="auto"/>
              <w:rPr>
                <w:rFonts w:eastAsia="Times New Roman" w:cs="Arial"/>
                <w:color w:val="000000"/>
                <w:sz w:val="16"/>
                <w:lang w:eastAsia="de-AT"/>
              </w:rPr>
            </w:pPr>
          </w:p>
        </w:tc>
        <w:tc>
          <w:tcPr>
            <w:tcW w:w="1374" w:type="pct"/>
            <w:tcBorders>
              <w:top w:val="nil"/>
              <w:left w:val="nil"/>
              <w:right w:val="single" w:sz="4" w:space="0" w:color="auto"/>
            </w:tcBorders>
            <w:shd w:val="clear" w:color="auto" w:fill="D9D9D9" w:themeFill="background1" w:themeFillShade="D9"/>
            <w:vAlign w:val="center"/>
            <w:hideMark/>
          </w:tcPr>
          <w:p w14:paraId="2E3A9E1E" w14:textId="6F730401" w:rsidR="008C1948" w:rsidRPr="00676813" w:rsidRDefault="007B0ADD" w:rsidP="00676813">
            <w:pPr>
              <w:spacing w:after="0" w:line="240" w:lineRule="auto"/>
              <w:jc w:val="center"/>
              <w:rPr>
                <w:rFonts w:eastAsia="Times New Roman" w:cs="Arial"/>
                <w:color w:val="000000"/>
                <w:sz w:val="16"/>
                <w:lang w:val="de-AT" w:eastAsia="de-AT"/>
              </w:rPr>
            </w:pPr>
            <w:r>
              <w:rPr>
                <w:rFonts w:eastAsia="Times New Roman" w:cs="Arial"/>
                <w:color w:val="000000"/>
                <w:sz w:val="16"/>
                <w:lang w:val="de-AT" w:eastAsia="de-AT"/>
              </w:rPr>
              <w:t>g</w:t>
            </w:r>
            <w:r w:rsidR="008C1948">
              <w:rPr>
                <w:rFonts w:eastAsia="Times New Roman" w:cs="Arial"/>
                <w:color w:val="000000"/>
                <w:sz w:val="16"/>
                <w:lang w:val="de-AT" w:eastAsia="de-AT"/>
              </w:rPr>
              <w:t>eothermal heat</w:t>
            </w:r>
          </w:p>
        </w:tc>
      </w:tr>
      <w:tr w:rsidR="008C1948" w:rsidRPr="00676813" w14:paraId="27311EEF" w14:textId="77777777" w:rsidTr="004B7451">
        <w:trPr>
          <w:trHeight w:val="285"/>
          <w:jc w:val="center"/>
        </w:trPr>
        <w:tc>
          <w:tcPr>
            <w:tcW w:w="1217" w:type="pct"/>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773DD552" w14:textId="77777777" w:rsidR="008C1948" w:rsidRPr="00676813" w:rsidRDefault="008C1948" w:rsidP="00676813">
            <w:pPr>
              <w:spacing w:after="0" w:line="240" w:lineRule="auto"/>
              <w:rPr>
                <w:rFonts w:eastAsia="Times New Roman" w:cs="Arial"/>
                <w:b/>
                <w:color w:val="000000"/>
                <w:sz w:val="16"/>
                <w:lang w:val="de-AT" w:eastAsia="de-AT"/>
              </w:rPr>
            </w:pPr>
          </w:p>
        </w:tc>
        <w:tc>
          <w:tcPr>
            <w:tcW w:w="1200" w:type="pct"/>
            <w:vMerge w:val="restart"/>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1A2DAF91" w14:textId="77777777" w:rsidR="008C1948" w:rsidRPr="00676813" w:rsidRDefault="008C1948" w:rsidP="00676813">
            <w:pPr>
              <w:spacing w:after="0" w:line="240" w:lineRule="auto"/>
              <w:jc w:val="center"/>
              <w:rPr>
                <w:rFonts w:eastAsia="Times New Roman" w:cs="Arial"/>
                <w:color w:val="000000"/>
                <w:sz w:val="16"/>
                <w:lang w:val="de-AT" w:eastAsia="de-AT"/>
              </w:rPr>
            </w:pPr>
            <w:r w:rsidRPr="00676813">
              <w:rPr>
                <w:rFonts w:eastAsia="Times New Roman" w:cs="Arial"/>
                <w:color w:val="000000"/>
                <w:sz w:val="16"/>
                <w:lang w:val="de-AT" w:eastAsia="de-AT"/>
              </w:rPr>
              <w:t>census/</w:t>
            </w:r>
            <w:r w:rsidR="00B823E8">
              <w:rPr>
                <w:rFonts w:eastAsia="Times New Roman" w:cs="Arial"/>
                <w:color w:val="000000"/>
                <w:sz w:val="16"/>
                <w:lang w:val="de-AT" w:eastAsia="de-AT"/>
              </w:rPr>
              <w:t>sample survey</w:t>
            </w:r>
          </w:p>
        </w:tc>
        <w:tc>
          <w:tcPr>
            <w:tcW w:w="1209" w:type="pct"/>
            <w:tcBorders>
              <w:top w:val="nil"/>
              <w:left w:val="nil"/>
              <w:bottom w:val="single" w:sz="4" w:space="0" w:color="auto"/>
              <w:right w:val="single" w:sz="4" w:space="0" w:color="auto"/>
            </w:tcBorders>
            <w:shd w:val="clear" w:color="auto" w:fill="D9D9D9" w:themeFill="background1" w:themeFillShade="D9"/>
            <w:vAlign w:val="center"/>
            <w:hideMark/>
          </w:tcPr>
          <w:p w14:paraId="65B4FC0E" w14:textId="217BDA1B" w:rsidR="008C1948" w:rsidRPr="004B7451" w:rsidRDefault="00C7379D" w:rsidP="00676813">
            <w:pPr>
              <w:spacing w:after="0" w:line="240" w:lineRule="auto"/>
              <w:jc w:val="center"/>
              <w:rPr>
                <w:rFonts w:eastAsia="Times New Roman" w:cs="Arial"/>
                <w:color w:val="000000"/>
                <w:sz w:val="16"/>
                <w:lang w:eastAsia="de-AT"/>
              </w:rPr>
            </w:pPr>
            <w:r w:rsidRPr="004B7451">
              <w:rPr>
                <w:rFonts w:eastAsia="Times New Roman" w:cs="Arial"/>
                <w:color w:val="000000"/>
                <w:sz w:val="16"/>
                <w:lang w:eastAsia="de-AT"/>
              </w:rPr>
              <w:t xml:space="preserve">entities in the </w:t>
            </w:r>
            <w:r w:rsidR="008C1948" w:rsidRPr="004B7451">
              <w:rPr>
                <w:rFonts w:eastAsia="Times New Roman" w:cs="Arial"/>
                <w:color w:val="000000"/>
                <w:sz w:val="16"/>
                <w:lang w:eastAsia="de-AT"/>
              </w:rPr>
              <w:t>energy industries</w:t>
            </w:r>
            <w:r w:rsidR="008C1948">
              <w:rPr>
                <w:rStyle w:val="FootnoteReference"/>
                <w:rFonts w:eastAsia="Times New Roman" w:cs="Arial"/>
                <w:color w:val="000000"/>
                <w:sz w:val="16"/>
                <w:lang w:val="de-AT" w:eastAsia="de-AT"/>
              </w:rPr>
              <w:footnoteReference w:id="2"/>
            </w:r>
          </w:p>
        </w:tc>
        <w:tc>
          <w:tcPr>
            <w:tcW w:w="1374" w:type="pct"/>
            <w:tcBorders>
              <w:top w:val="nil"/>
              <w:left w:val="nil"/>
              <w:right w:val="single" w:sz="4" w:space="0" w:color="auto"/>
            </w:tcBorders>
            <w:shd w:val="clear" w:color="auto" w:fill="D9D9D9" w:themeFill="background1" w:themeFillShade="D9"/>
            <w:vAlign w:val="center"/>
            <w:hideMark/>
          </w:tcPr>
          <w:p w14:paraId="6B368FA2" w14:textId="5709BA36" w:rsidR="008C1948" w:rsidRPr="00676813" w:rsidRDefault="007B0ADD" w:rsidP="0012346F">
            <w:pPr>
              <w:spacing w:after="0" w:line="240" w:lineRule="auto"/>
              <w:rPr>
                <w:rFonts w:eastAsia="Times New Roman" w:cs="Arial"/>
                <w:color w:val="000000"/>
                <w:sz w:val="16"/>
                <w:lang w:val="de-AT" w:eastAsia="de-AT"/>
              </w:rPr>
            </w:pPr>
            <w:r>
              <w:rPr>
                <w:rFonts w:eastAsia="Times New Roman" w:cs="Arial"/>
                <w:color w:val="000000"/>
                <w:sz w:val="16"/>
                <w:lang w:val="de-AT" w:eastAsia="de-AT"/>
              </w:rPr>
              <w:t>h</w:t>
            </w:r>
            <w:r w:rsidR="008C1948">
              <w:rPr>
                <w:rFonts w:eastAsia="Times New Roman" w:cs="Arial"/>
                <w:color w:val="000000"/>
                <w:sz w:val="16"/>
                <w:lang w:val="de-AT" w:eastAsia="de-AT"/>
              </w:rPr>
              <w:t>eat from chemical processes</w:t>
            </w:r>
          </w:p>
        </w:tc>
      </w:tr>
      <w:tr w:rsidR="008C1948" w:rsidRPr="00676813" w14:paraId="761B3733" w14:textId="77777777" w:rsidTr="004B7451">
        <w:trPr>
          <w:trHeight w:val="300"/>
          <w:jc w:val="center"/>
        </w:trPr>
        <w:tc>
          <w:tcPr>
            <w:tcW w:w="1217" w:type="pct"/>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227C6BA7" w14:textId="77777777" w:rsidR="008C1948" w:rsidRPr="00676813" w:rsidRDefault="008C1948" w:rsidP="00676813">
            <w:pPr>
              <w:spacing w:after="0" w:line="240" w:lineRule="auto"/>
              <w:rPr>
                <w:rFonts w:eastAsia="Times New Roman" w:cs="Arial"/>
                <w:b/>
                <w:color w:val="000000"/>
                <w:sz w:val="16"/>
                <w:lang w:val="de-AT" w:eastAsia="de-AT"/>
              </w:rPr>
            </w:pPr>
          </w:p>
        </w:tc>
        <w:tc>
          <w:tcPr>
            <w:tcW w:w="1200" w:type="pct"/>
            <w:vMerge/>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1A3A9B52" w14:textId="77777777" w:rsidR="008C1948" w:rsidRPr="00676813" w:rsidRDefault="008C1948" w:rsidP="00676813">
            <w:pPr>
              <w:spacing w:after="0" w:line="240" w:lineRule="auto"/>
              <w:rPr>
                <w:rFonts w:eastAsia="Times New Roman" w:cs="Arial"/>
                <w:color w:val="000000"/>
                <w:sz w:val="16"/>
                <w:lang w:val="de-AT" w:eastAsia="de-AT"/>
              </w:rPr>
            </w:pPr>
          </w:p>
        </w:tc>
        <w:tc>
          <w:tcPr>
            <w:tcW w:w="1209" w:type="pct"/>
            <w:tcBorders>
              <w:top w:val="nil"/>
              <w:left w:val="nil"/>
              <w:bottom w:val="single" w:sz="8" w:space="0" w:color="auto"/>
              <w:right w:val="single" w:sz="4" w:space="0" w:color="auto"/>
            </w:tcBorders>
            <w:shd w:val="clear" w:color="auto" w:fill="D9D9D9" w:themeFill="background1" w:themeFillShade="D9"/>
            <w:vAlign w:val="center"/>
            <w:hideMark/>
          </w:tcPr>
          <w:p w14:paraId="55654E5D" w14:textId="77777777" w:rsidR="008C1948" w:rsidRPr="00676813" w:rsidRDefault="008C1948" w:rsidP="00676813">
            <w:pPr>
              <w:spacing w:after="0" w:line="240" w:lineRule="auto"/>
              <w:jc w:val="center"/>
              <w:rPr>
                <w:rFonts w:eastAsia="Times New Roman" w:cs="Arial"/>
                <w:color w:val="000000"/>
                <w:sz w:val="16"/>
                <w:lang w:val="de-AT" w:eastAsia="de-AT"/>
              </w:rPr>
            </w:pPr>
            <w:r w:rsidRPr="00676813">
              <w:rPr>
                <w:rFonts w:eastAsia="Times New Roman" w:cs="Arial"/>
                <w:color w:val="000000"/>
                <w:sz w:val="16"/>
                <w:lang w:val="de-AT" w:eastAsia="de-AT"/>
              </w:rPr>
              <w:t>other energy producers</w:t>
            </w:r>
          </w:p>
        </w:tc>
        <w:tc>
          <w:tcPr>
            <w:tcW w:w="1374" w:type="pct"/>
            <w:tcBorders>
              <w:top w:val="nil"/>
              <w:left w:val="nil"/>
              <w:bottom w:val="single" w:sz="8" w:space="0" w:color="auto"/>
              <w:right w:val="single" w:sz="4" w:space="0" w:color="auto"/>
            </w:tcBorders>
            <w:shd w:val="clear" w:color="auto" w:fill="D9D9D9" w:themeFill="background1" w:themeFillShade="D9"/>
            <w:vAlign w:val="center"/>
            <w:hideMark/>
          </w:tcPr>
          <w:p w14:paraId="2A7C1AC1" w14:textId="77777777" w:rsidR="008C1948" w:rsidRPr="00676813" w:rsidRDefault="008C1948" w:rsidP="00676813">
            <w:pPr>
              <w:spacing w:after="0" w:line="240" w:lineRule="auto"/>
              <w:jc w:val="center"/>
              <w:rPr>
                <w:rFonts w:eastAsia="Times New Roman" w:cs="Arial"/>
                <w:color w:val="000000"/>
                <w:sz w:val="16"/>
                <w:lang w:val="de-AT" w:eastAsia="de-AT"/>
              </w:rPr>
            </w:pPr>
          </w:p>
        </w:tc>
      </w:tr>
      <w:tr w:rsidR="008C1948" w:rsidRPr="00676813" w14:paraId="04E63D88" w14:textId="77777777" w:rsidTr="004B7451">
        <w:trPr>
          <w:trHeight w:val="285"/>
          <w:jc w:val="center"/>
        </w:trPr>
        <w:tc>
          <w:tcPr>
            <w:tcW w:w="1217" w:type="pct"/>
            <w:vMerge w:val="restart"/>
            <w:tcBorders>
              <w:top w:val="single" w:sz="8" w:space="0" w:color="auto"/>
              <w:left w:val="single" w:sz="8" w:space="0" w:color="auto"/>
              <w:right w:val="single" w:sz="4" w:space="0" w:color="auto"/>
            </w:tcBorders>
            <w:shd w:val="clear" w:color="auto" w:fill="auto"/>
            <w:vAlign w:val="center"/>
            <w:hideMark/>
          </w:tcPr>
          <w:p w14:paraId="0D219E9C" w14:textId="77777777" w:rsidR="008C1948" w:rsidRPr="0012346F" w:rsidRDefault="008C1948" w:rsidP="002F7AED">
            <w:pPr>
              <w:spacing w:after="0" w:line="240" w:lineRule="auto"/>
              <w:jc w:val="center"/>
              <w:rPr>
                <w:rFonts w:eastAsia="Times New Roman" w:cs="Arial"/>
                <w:b/>
                <w:color w:val="000000"/>
                <w:sz w:val="16"/>
                <w:lang w:eastAsia="de-AT"/>
              </w:rPr>
            </w:pPr>
            <w:r w:rsidRPr="0012346F">
              <w:rPr>
                <w:rFonts w:eastAsia="Times New Roman" w:cs="Arial"/>
                <w:b/>
                <w:color w:val="000000"/>
                <w:sz w:val="16"/>
                <w:lang w:eastAsia="de-AT"/>
              </w:rPr>
              <w:t>Energy supply:</w:t>
            </w:r>
          </w:p>
          <w:p w14:paraId="5DCE7C8B" w14:textId="2AD6C93E" w:rsidR="008C1948" w:rsidRPr="0012346F" w:rsidRDefault="008C1948" w:rsidP="007C27A4">
            <w:pPr>
              <w:spacing w:after="0" w:line="240" w:lineRule="auto"/>
              <w:jc w:val="center"/>
              <w:rPr>
                <w:rFonts w:eastAsia="Times New Roman" w:cs="Arial"/>
                <w:b/>
                <w:color w:val="000000"/>
                <w:sz w:val="16"/>
                <w:lang w:eastAsia="de-AT"/>
              </w:rPr>
            </w:pPr>
            <w:r>
              <w:rPr>
                <w:rFonts w:eastAsia="Times New Roman" w:cs="Arial"/>
                <w:b/>
                <w:color w:val="000000"/>
                <w:sz w:val="16"/>
                <w:lang w:eastAsia="de-AT"/>
              </w:rPr>
              <w:t xml:space="preserve">Solar </w:t>
            </w:r>
            <w:r w:rsidR="00873546">
              <w:rPr>
                <w:rFonts w:eastAsia="Times New Roman" w:cs="Arial"/>
                <w:b/>
                <w:color w:val="000000"/>
                <w:sz w:val="16"/>
                <w:lang w:eastAsia="de-AT"/>
              </w:rPr>
              <w:t xml:space="preserve">electricity, solar </w:t>
            </w:r>
            <w:r w:rsidR="007C27A4">
              <w:rPr>
                <w:rFonts w:eastAsia="Times New Roman" w:cs="Arial"/>
                <w:b/>
                <w:color w:val="000000"/>
                <w:sz w:val="16"/>
                <w:lang w:eastAsia="de-AT"/>
              </w:rPr>
              <w:t xml:space="preserve">heat </w:t>
            </w:r>
            <w:r>
              <w:rPr>
                <w:rFonts w:eastAsia="Times New Roman" w:cs="Arial"/>
                <w:b/>
                <w:color w:val="000000"/>
                <w:sz w:val="16"/>
                <w:lang w:eastAsia="de-AT"/>
              </w:rPr>
              <w:t>and ambient heat</w:t>
            </w:r>
          </w:p>
        </w:tc>
        <w:tc>
          <w:tcPr>
            <w:tcW w:w="120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58CD156" w14:textId="77777777" w:rsidR="008C1948" w:rsidRPr="00676813" w:rsidRDefault="002A3969" w:rsidP="002F7AED">
            <w:pPr>
              <w:spacing w:after="0" w:line="240" w:lineRule="auto"/>
              <w:jc w:val="center"/>
              <w:rPr>
                <w:rFonts w:eastAsia="Times New Roman" w:cs="Arial"/>
                <w:color w:val="000000"/>
                <w:sz w:val="16"/>
                <w:lang w:val="de-AT" w:eastAsia="de-AT"/>
              </w:rPr>
            </w:pPr>
            <w:r>
              <w:rPr>
                <w:rFonts w:eastAsia="Times New Roman" w:cs="Arial"/>
                <w:color w:val="000000"/>
                <w:sz w:val="16"/>
                <w:lang w:val="de-AT" w:eastAsia="de-AT"/>
              </w:rPr>
              <w:t>administrative data</w:t>
            </w:r>
          </w:p>
        </w:tc>
        <w:tc>
          <w:tcPr>
            <w:tcW w:w="1209"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647BF37" w14:textId="77777777" w:rsidR="008C1948" w:rsidRPr="00676813" w:rsidRDefault="008C1948" w:rsidP="002F7AED">
            <w:pPr>
              <w:spacing w:after="0" w:line="240" w:lineRule="auto"/>
              <w:jc w:val="center"/>
              <w:rPr>
                <w:rFonts w:eastAsia="Times New Roman" w:cs="Arial"/>
                <w:color w:val="000000"/>
                <w:sz w:val="16"/>
                <w:lang w:val="de-AT" w:eastAsia="de-AT"/>
              </w:rPr>
            </w:pPr>
            <w:r w:rsidRPr="00676813">
              <w:rPr>
                <w:rFonts w:eastAsia="Times New Roman" w:cs="Arial"/>
                <w:color w:val="000000"/>
                <w:sz w:val="16"/>
                <w:lang w:val="de-AT" w:eastAsia="de-AT"/>
              </w:rPr>
              <w:t>data owners</w:t>
            </w:r>
          </w:p>
        </w:tc>
        <w:tc>
          <w:tcPr>
            <w:tcW w:w="1374" w:type="pct"/>
            <w:tcBorders>
              <w:top w:val="single" w:sz="4" w:space="0" w:color="auto"/>
              <w:left w:val="nil"/>
              <w:right w:val="single" w:sz="4" w:space="0" w:color="auto"/>
            </w:tcBorders>
            <w:shd w:val="clear" w:color="auto" w:fill="auto"/>
            <w:vAlign w:val="center"/>
            <w:hideMark/>
          </w:tcPr>
          <w:p w14:paraId="597F54D4" w14:textId="0F0ED0B0" w:rsidR="008C1948" w:rsidRPr="0012346F" w:rsidRDefault="008313F2" w:rsidP="00FA039E">
            <w:pPr>
              <w:spacing w:after="0" w:line="240" w:lineRule="auto"/>
              <w:jc w:val="center"/>
              <w:rPr>
                <w:rFonts w:eastAsia="Times New Roman" w:cs="Arial"/>
                <w:color w:val="000000"/>
                <w:sz w:val="16"/>
                <w:lang w:eastAsia="de-AT"/>
              </w:rPr>
            </w:pPr>
            <w:r>
              <w:rPr>
                <w:rFonts w:eastAsia="Times New Roman" w:cs="Arial"/>
                <w:color w:val="000000"/>
                <w:sz w:val="16"/>
                <w:lang w:eastAsia="de-AT"/>
              </w:rPr>
              <w:t>s</w:t>
            </w:r>
            <w:r w:rsidR="008C1948">
              <w:rPr>
                <w:rFonts w:eastAsia="Times New Roman" w:cs="Arial"/>
                <w:color w:val="000000"/>
                <w:sz w:val="16"/>
                <w:lang w:eastAsia="de-AT"/>
              </w:rPr>
              <w:t>olar heat production (metered)</w:t>
            </w:r>
          </w:p>
        </w:tc>
      </w:tr>
      <w:tr w:rsidR="008C1948" w:rsidRPr="00676813" w14:paraId="62121871" w14:textId="77777777" w:rsidTr="004B7451">
        <w:trPr>
          <w:trHeight w:val="285"/>
          <w:jc w:val="center"/>
        </w:trPr>
        <w:tc>
          <w:tcPr>
            <w:tcW w:w="1217" w:type="pct"/>
            <w:vMerge/>
            <w:tcBorders>
              <w:left w:val="single" w:sz="8" w:space="0" w:color="auto"/>
              <w:right w:val="single" w:sz="4" w:space="0" w:color="auto"/>
            </w:tcBorders>
            <w:vAlign w:val="center"/>
            <w:hideMark/>
          </w:tcPr>
          <w:p w14:paraId="0FD34F32" w14:textId="77777777" w:rsidR="008C1948" w:rsidRPr="00676813" w:rsidRDefault="008C1948" w:rsidP="002F7AED">
            <w:pPr>
              <w:spacing w:after="0" w:line="240" w:lineRule="auto"/>
              <w:rPr>
                <w:rFonts w:eastAsia="Times New Roman" w:cs="Arial"/>
                <w:b/>
                <w:color w:val="000000"/>
                <w:sz w:val="16"/>
                <w:lang w:eastAsia="de-AT"/>
              </w:rPr>
            </w:pPr>
          </w:p>
        </w:tc>
        <w:tc>
          <w:tcPr>
            <w:tcW w:w="1200" w:type="pct"/>
            <w:vMerge/>
            <w:tcBorders>
              <w:top w:val="single" w:sz="8" w:space="0" w:color="auto"/>
              <w:left w:val="single" w:sz="4" w:space="0" w:color="auto"/>
              <w:bottom w:val="single" w:sz="4" w:space="0" w:color="auto"/>
              <w:right w:val="single" w:sz="4" w:space="0" w:color="auto"/>
            </w:tcBorders>
            <w:vAlign w:val="center"/>
            <w:hideMark/>
          </w:tcPr>
          <w:p w14:paraId="3891DAE6" w14:textId="77777777" w:rsidR="008C1948" w:rsidRPr="00676813" w:rsidRDefault="008C1948" w:rsidP="002F7AED">
            <w:pPr>
              <w:spacing w:after="0" w:line="240" w:lineRule="auto"/>
              <w:rPr>
                <w:rFonts w:eastAsia="Times New Roman" w:cs="Arial"/>
                <w:color w:val="000000"/>
                <w:sz w:val="16"/>
                <w:lang w:eastAsia="de-AT"/>
              </w:rPr>
            </w:pPr>
          </w:p>
        </w:tc>
        <w:tc>
          <w:tcPr>
            <w:tcW w:w="1209" w:type="pct"/>
            <w:vMerge/>
            <w:tcBorders>
              <w:top w:val="single" w:sz="8" w:space="0" w:color="auto"/>
              <w:left w:val="single" w:sz="4" w:space="0" w:color="auto"/>
              <w:bottom w:val="single" w:sz="4" w:space="0" w:color="auto"/>
              <w:right w:val="single" w:sz="4" w:space="0" w:color="auto"/>
            </w:tcBorders>
            <w:vAlign w:val="center"/>
            <w:hideMark/>
          </w:tcPr>
          <w:p w14:paraId="4E878A10" w14:textId="77777777" w:rsidR="008C1948" w:rsidRPr="00676813" w:rsidRDefault="008C1948" w:rsidP="002F7AED">
            <w:pPr>
              <w:spacing w:after="0" w:line="240" w:lineRule="auto"/>
              <w:rPr>
                <w:rFonts w:eastAsia="Times New Roman" w:cs="Arial"/>
                <w:color w:val="000000"/>
                <w:sz w:val="16"/>
                <w:lang w:eastAsia="de-AT"/>
              </w:rPr>
            </w:pPr>
          </w:p>
        </w:tc>
        <w:tc>
          <w:tcPr>
            <w:tcW w:w="1374" w:type="pct"/>
            <w:tcBorders>
              <w:top w:val="nil"/>
              <w:left w:val="nil"/>
              <w:right w:val="single" w:sz="4" w:space="0" w:color="auto"/>
            </w:tcBorders>
            <w:shd w:val="clear" w:color="auto" w:fill="auto"/>
            <w:vAlign w:val="center"/>
            <w:hideMark/>
          </w:tcPr>
          <w:p w14:paraId="40C85FDB" w14:textId="77777777" w:rsidR="008C1948" w:rsidRPr="00B82558" w:rsidRDefault="008C1948" w:rsidP="00B82558">
            <w:pPr>
              <w:spacing w:after="0" w:line="240" w:lineRule="auto"/>
              <w:jc w:val="center"/>
              <w:rPr>
                <w:rFonts w:eastAsia="Times New Roman" w:cs="Arial"/>
                <w:color w:val="000000"/>
                <w:sz w:val="16"/>
                <w:lang w:eastAsia="de-AT"/>
              </w:rPr>
            </w:pPr>
            <w:r>
              <w:rPr>
                <w:rFonts w:eastAsia="Times New Roman" w:cs="Arial"/>
                <w:color w:val="000000"/>
                <w:sz w:val="16"/>
                <w:lang w:eastAsia="de-AT"/>
              </w:rPr>
              <w:t>PV electricity generation (metered)</w:t>
            </w:r>
          </w:p>
        </w:tc>
      </w:tr>
      <w:tr w:rsidR="008C1948" w:rsidRPr="00676813" w14:paraId="148D3DDA" w14:textId="77777777" w:rsidTr="004B7451">
        <w:trPr>
          <w:trHeight w:val="285"/>
          <w:jc w:val="center"/>
        </w:trPr>
        <w:tc>
          <w:tcPr>
            <w:tcW w:w="1217" w:type="pct"/>
            <w:vMerge/>
            <w:tcBorders>
              <w:left w:val="single" w:sz="8" w:space="0" w:color="auto"/>
              <w:right w:val="single" w:sz="4" w:space="0" w:color="auto"/>
            </w:tcBorders>
            <w:vAlign w:val="center"/>
            <w:hideMark/>
          </w:tcPr>
          <w:p w14:paraId="6B40969E" w14:textId="77777777" w:rsidR="008C1948" w:rsidRPr="00B82558" w:rsidRDefault="008C1948" w:rsidP="002F7AED">
            <w:pPr>
              <w:spacing w:after="0" w:line="240" w:lineRule="auto"/>
              <w:rPr>
                <w:rFonts w:eastAsia="Times New Roman" w:cs="Arial"/>
                <w:b/>
                <w:color w:val="000000"/>
                <w:sz w:val="16"/>
                <w:lang w:eastAsia="de-AT"/>
              </w:rPr>
            </w:pPr>
          </w:p>
        </w:tc>
        <w:tc>
          <w:tcPr>
            <w:tcW w:w="1200" w:type="pct"/>
            <w:vMerge w:val="restart"/>
            <w:tcBorders>
              <w:top w:val="nil"/>
              <w:left w:val="single" w:sz="4" w:space="0" w:color="auto"/>
              <w:bottom w:val="single" w:sz="8" w:space="0" w:color="000000"/>
              <w:right w:val="single" w:sz="4" w:space="0" w:color="auto"/>
            </w:tcBorders>
            <w:shd w:val="clear" w:color="auto" w:fill="auto"/>
            <w:vAlign w:val="center"/>
            <w:hideMark/>
          </w:tcPr>
          <w:p w14:paraId="27DF16FF" w14:textId="77777777" w:rsidR="008C1948" w:rsidRPr="00676813" w:rsidRDefault="008C1948" w:rsidP="002F7AED">
            <w:pPr>
              <w:spacing w:after="0" w:line="240" w:lineRule="auto"/>
              <w:jc w:val="center"/>
              <w:rPr>
                <w:rFonts w:eastAsia="Times New Roman" w:cs="Arial"/>
                <w:color w:val="000000"/>
                <w:sz w:val="16"/>
                <w:lang w:val="de-AT" w:eastAsia="de-AT"/>
              </w:rPr>
            </w:pPr>
            <w:r w:rsidRPr="00676813">
              <w:rPr>
                <w:rFonts w:eastAsia="Times New Roman" w:cs="Arial"/>
                <w:color w:val="000000"/>
                <w:sz w:val="16"/>
                <w:lang w:val="de-AT" w:eastAsia="de-AT"/>
              </w:rPr>
              <w:t>census/</w:t>
            </w:r>
            <w:r w:rsidR="00B823E8">
              <w:rPr>
                <w:rFonts w:eastAsia="Times New Roman" w:cs="Arial"/>
                <w:color w:val="000000"/>
                <w:sz w:val="16"/>
                <w:lang w:val="de-AT" w:eastAsia="de-AT"/>
              </w:rPr>
              <w:t>sample survey</w:t>
            </w:r>
          </w:p>
        </w:tc>
        <w:tc>
          <w:tcPr>
            <w:tcW w:w="1209" w:type="pct"/>
            <w:tcBorders>
              <w:top w:val="nil"/>
              <w:left w:val="nil"/>
              <w:bottom w:val="single" w:sz="4" w:space="0" w:color="auto"/>
              <w:right w:val="single" w:sz="4" w:space="0" w:color="auto"/>
            </w:tcBorders>
            <w:shd w:val="clear" w:color="auto" w:fill="auto"/>
            <w:vAlign w:val="center"/>
            <w:hideMark/>
          </w:tcPr>
          <w:p w14:paraId="3482082F" w14:textId="5141E354" w:rsidR="008C1948" w:rsidRPr="004B7451" w:rsidRDefault="0010026D" w:rsidP="002F7AED">
            <w:pPr>
              <w:spacing w:after="0" w:line="240" w:lineRule="auto"/>
              <w:jc w:val="center"/>
              <w:rPr>
                <w:rFonts w:eastAsia="Times New Roman" w:cs="Arial"/>
                <w:color w:val="000000"/>
                <w:sz w:val="16"/>
                <w:lang w:eastAsia="de-AT"/>
              </w:rPr>
            </w:pPr>
            <w:r w:rsidRPr="004B7451">
              <w:rPr>
                <w:rFonts w:eastAsia="Times New Roman" w:cs="Arial"/>
                <w:color w:val="000000"/>
                <w:sz w:val="16"/>
                <w:lang w:eastAsia="de-AT"/>
              </w:rPr>
              <w:t xml:space="preserve">entities in the </w:t>
            </w:r>
            <w:r w:rsidR="008C1948" w:rsidRPr="004B7451">
              <w:rPr>
                <w:rFonts w:eastAsia="Times New Roman" w:cs="Arial"/>
                <w:color w:val="000000"/>
                <w:sz w:val="16"/>
                <w:lang w:eastAsia="de-AT"/>
              </w:rPr>
              <w:t>energy industries</w:t>
            </w:r>
          </w:p>
        </w:tc>
        <w:tc>
          <w:tcPr>
            <w:tcW w:w="1374" w:type="pct"/>
            <w:tcBorders>
              <w:top w:val="nil"/>
              <w:left w:val="nil"/>
              <w:right w:val="single" w:sz="4" w:space="0" w:color="auto"/>
            </w:tcBorders>
            <w:shd w:val="clear" w:color="auto" w:fill="auto"/>
            <w:vAlign w:val="center"/>
            <w:hideMark/>
          </w:tcPr>
          <w:p w14:paraId="7B80BADA" w14:textId="0CF31164" w:rsidR="008C1948" w:rsidRPr="00FA039E" w:rsidRDefault="008313F2" w:rsidP="00FA039E">
            <w:pPr>
              <w:spacing w:after="0" w:line="240" w:lineRule="auto"/>
              <w:jc w:val="center"/>
              <w:rPr>
                <w:rFonts w:eastAsia="Times New Roman" w:cs="Arial"/>
                <w:color w:val="000000"/>
                <w:sz w:val="16"/>
                <w:lang w:eastAsia="de-AT"/>
              </w:rPr>
            </w:pPr>
            <w:r>
              <w:rPr>
                <w:rFonts w:eastAsia="Times New Roman" w:cs="Arial"/>
                <w:color w:val="000000"/>
                <w:sz w:val="16"/>
                <w:lang w:eastAsia="de-AT"/>
              </w:rPr>
              <w:t>electricity</w:t>
            </w:r>
            <w:r w:rsidR="008C1948">
              <w:rPr>
                <w:rFonts w:eastAsia="Times New Roman" w:cs="Arial"/>
                <w:color w:val="000000"/>
                <w:sz w:val="16"/>
                <w:lang w:eastAsia="de-AT"/>
              </w:rPr>
              <w:t xml:space="preserve"> generated from solar heat (metered)</w:t>
            </w:r>
          </w:p>
        </w:tc>
      </w:tr>
      <w:tr w:rsidR="008C1948" w:rsidRPr="00676813" w14:paraId="778F1D64" w14:textId="77777777" w:rsidTr="004B7451">
        <w:trPr>
          <w:trHeight w:val="300"/>
          <w:jc w:val="center"/>
        </w:trPr>
        <w:tc>
          <w:tcPr>
            <w:tcW w:w="1217" w:type="pct"/>
            <w:vMerge/>
            <w:tcBorders>
              <w:left w:val="single" w:sz="8" w:space="0" w:color="auto"/>
              <w:right w:val="single" w:sz="4" w:space="0" w:color="auto"/>
            </w:tcBorders>
            <w:vAlign w:val="center"/>
            <w:hideMark/>
          </w:tcPr>
          <w:p w14:paraId="098A8307" w14:textId="77777777" w:rsidR="008C1948" w:rsidRPr="00FA039E" w:rsidRDefault="008C1948" w:rsidP="002F7AED">
            <w:pPr>
              <w:spacing w:after="0" w:line="240" w:lineRule="auto"/>
              <w:rPr>
                <w:rFonts w:eastAsia="Times New Roman" w:cs="Arial"/>
                <w:b/>
                <w:color w:val="000000"/>
                <w:sz w:val="16"/>
                <w:lang w:eastAsia="de-AT"/>
              </w:rPr>
            </w:pPr>
          </w:p>
        </w:tc>
        <w:tc>
          <w:tcPr>
            <w:tcW w:w="1200" w:type="pct"/>
            <w:vMerge/>
            <w:tcBorders>
              <w:top w:val="nil"/>
              <w:left w:val="single" w:sz="4" w:space="0" w:color="auto"/>
              <w:bottom w:val="single" w:sz="8" w:space="0" w:color="000000"/>
              <w:right w:val="single" w:sz="4" w:space="0" w:color="auto"/>
            </w:tcBorders>
            <w:vAlign w:val="center"/>
            <w:hideMark/>
          </w:tcPr>
          <w:p w14:paraId="21D16B2D" w14:textId="77777777" w:rsidR="008C1948" w:rsidRPr="00FA039E" w:rsidRDefault="008C1948" w:rsidP="002F7AED">
            <w:pPr>
              <w:spacing w:after="0" w:line="240" w:lineRule="auto"/>
              <w:rPr>
                <w:rFonts w:eastAsia="Times New Roman" w:cs="Arial"/>
                <w:color w:val="000000"/>
                <w:sz w:val="16"/>
                <w:lang w:eastAsia="de-AT"/>
              </w:rPr>
            </w:pPr>
          </w:p>
        </w:tc>
        <w:tc>
          <w:tcPr>
            <w:tcW w:w="1209" w:type="pct"/>
            <w:tcBorders>
              <w:top w:val="nil"/>
              <w:left w:val="nil"/>
              <w:bottom w:val="single" w:sz="8" w:space="0" w:color="auto"/>
              <w:right w:val="single" w:sz="4" w:space="0" w:color="auto"/>
            </w:tcBorders>
            <w:shd w:val="clear" w:color="auto" w:fill="auto"/>
            <w:vAlign w:val="center"/>
            <w:hideMark/>
          </w:tcPr>
          <w:p w14:paraId="7A0969B2" w14:textId="77777777" w:rsidR="008C1948" w:rsidRPr="00676813" w:rsidRDefault="008C1948" w:rsidP="002F7AED">
            <w:pPr>
              <w:spacing w:after="0" w:line="240" w:lineRule="auto"/>
              <w:jc w:val="center"/>
              <w:rPr>
                <w:rFonts w:eastAsia="Times New Roman" w:cs="Arial"/>
                <w:color w:val="000000"/>
                <w:sz w:val="16"/>
                <w:lang w:val="de-AT" w:eastAsia="de-AT"/>
              </w:rPr>
            </w:pPr>
            <w:r w:rsidRPr="00676813">
              <w:rPr>
                <w:rFonts w:eastAsia="Times New Roman" w:cs="Arial"/>
                <w:color w:val="000000"/>
                <w:sz w:val="16"/>
                <w:lang w:val="de-AT" w:eastAsia="de-AT"/>
              </w:rPr>
              <w:t>other energy producers</w:t>
            </w:r>
          </w:p>
        </w:tc>
        <w:tc>
          <w:tcPr>
            <w:tcW w:w="1374" w:type="pct"/>
            <w:tcBorders>
              <w:top w:val="nil"/>
              <w:left w:val="nil"/>
              <w:bottom w:val="single" w:sz="4" w:space="0" w:color="auto"/>
              <w:right w:val="single" w:sz="4" w:space="0" w:color="auto"/>
            </w:tcBorders>
            <w:shd w:val="clear" w:color="auto" w:fill="auto"/>
            <w:vAlign w:val="center"/>
          </w:tcPr>
          <w:p w14:paraId="5628D563" w14:textId="054AB7A8" w:rsidR="008C1948" w:rsidRPr="00FA039E" w:rsidRDefault="008C1948" w:rsidP="00C61151">
            <w:pPr>
              <w:spacing w:after="0" w:line="240" w:lineRule="auto"/>
              <w:jc w:val="center"/>
              <w:rPr>
                <w:rFonts w:eastAsia="Times New Roman" w:cs="Arial"/>
                <w:color w:val="000000"/>
                <w:sz w:val="16"/>
                <w:lang w:eastAsia="de-AT"/>
              </w:rPr>
            </w:pPr>
          </w:p>
        </w:tc>
      </w:tr>
      <w:tr w:rsidR="00B900A6" w:rsidRPr="00676813" w14:paraId="60DE5467" w14:textId="77777777" w:rsidTr="004B7451">
        <w:trPr>
          <w:trHeight w:val="285"/>
          <w:jc w:val="center"/>
        </w:trPr>
        <w:tc>
          <w:tcPr>
            <w:tcW w:w="1217" w:type="pct"/>
            <w:vMerge/>
            <w:tcBorders>
              <w:left w:val="single" w:sz="8" w:space="0" w:color="auto"/>
              <w:bottom w:val="single" w:sz="8" w:space="0" w:color="000000"/>
              <w:right w:val="single" w:sz="4" w:space="0" w:color="auto"/>
            </w:tcBorders>
            <w:shd w:val="clear" w:color="auto" w:fill="D9D9D9" w:themeFill="background1" w:themeFillShade="D9"/>
            <w:vAlign w:val="center"/>
          </w:tcPr>
          <w:p w14:paraId="48676AC8" w14:textId="77777777" w:rsidR="00B900A6" w:rsidRPr="00C61151" w:rsidRDefault="00B900A6" w:rsidP="00B900A6">
            <w:pPr>
              <w:spacing w:after="0" w:line="240" w:lineRule="auto"/>
              <w:jc w:val="center"/>
              <w:rPr>
                <w:rFonts w:eastAsia="Times New Roman" w:cs="Arial"/>
                <w:b/>
                <w:color w:val="000000"/>
                <w:sz w:val="16"/>
                <w:lang w:eastAsia="de-AT"/>
              </w:rPr>
            </w:pPr>
          </w:p>
        </w:tc>
        <w:tc>
          <w:tcPr>
            <w:tcW w:w="1200" w:type="pct"/>
            <w:tcBorders>
              <w:top w:val="nil"/>
              <w:left w:val="single" w:sz="4" w:space="0" w:color="auto"/>
              <w:bottom w:val="single" w:sz="8" w:space="0" w:color="000000"/>
              <w:right w:val="single" w:sz="4" w:space="0" w:color="auto"/>
            </w:tcBorders>
            <w:shd w:val="clear" w:color="auto" w:fill="FFFFFF" w:themeFill="background1"/>
            <w:vAlign w:val="center"/>
          </w:tcPr>
          <w:p w14:paraId="42785266" w14:textId="77777777" w:rsidR="00B900A6" w:rsidRPr="00676813" w:rsidRDefault="00B900A6" w:rsidP="00B900A6">
            <w:pPr>
              <w:spacing w:after="0" w:line="240" w:lineRule="auto"/>
              <w:jc w:val="center"/>
              <w:rPr>
                <w:rFonts w:eastAsia="Times New Roman" w:cs="Arial"/>
                <w:color w:val="000000"/>
                <w:sz w:val="16"/>
                <w:lang w:val="de-AT" w:eastAsia="de-AT"/>
              </w:rPr>
            </w:pPr>
            <w:r>
              <w:rPr>
                <w:rFonts w:eastAsia="Times New Roman" w:cs="Arial"/>
                <w:color w:val="000000"/>
                <w:sz w:val="16"/>
                <w:lang w:val="de-AT" w:eastAsia="de-AT"/>
              </w:rPr>
              <w:t>modelling</w:t>
            </w:r>
          </w:p>
        </w:tc>
        <w:tc>
          <w:tcPr>
            <w:tcW w:w="1209" w:type="pct"/>
            <w:tcBorders>
              <w:top w:val="nil"/>
              <w:left w:val="nil"/>
              <w:bottom w:val="single" w:sz="4" w:space="0" w:color="auto"/>
              <w:right w:val="single" w:sz="4" w:space="0" w:color="auto"/>
            </w:tcBorders>
            <w:shd w:val="clear" w:color="auto" w:fill="FFFFFF" w:themeFill="background1"/>
            <w:vAlign w:val="center"/>
          </w:tcPr>
          <w:p w14:paraId="1CFDE16F" w14:textId="2F1F61EA" w:rsidR="00B900A6" w:rsidRPr="00676813" w:rsidRDefault="00B900A6" w:rsidP="00B900A6">
            <w:pPr>
              <w:spacing w:after="0" w:line="240" w:lineRule="auto"/>
              <w:jc w:val="center"/>
              <w:rPr>
                <w:rFonts w:eastAsia="Times New Roman" w:cs="Arial"/>
                <w:color w:val="000000"/>
                <w:sz w:val="16"/>
                <w:lang w:val="de-AT" w:eastAsia="de-AT"/>
              </w:rPr>
            </w:pPr>
            <w:r>
              <w:rPr>
                <w:rFonts w:eastAsia="Times New Roman" w:cs="Arial"/>
                <w:color w:val="000000"/>
                <w:sz w:val="16"/>
                <w:lang w:val="de-AT" w:eastAsia="de-AT"/>
              </w:rPr>
              <w:t>traders, installers</w:t>
            </w:r>
          </w:p>
        </w:tc>
        <w:tc>
          <w:tcPr>
            <w:tcW w:w="1374" w:type="pct"/>
            <w:tcBorders>
              <w:top w:val="single" w:sz="4" w:space="0" w:color="auto"/>
              <w:left w:val="nil"/>
              <w:right w:val="single" w:sz="4" w:space="0" w:color="auto"/>
            </w:tcBorders>
            <w:shd w:val="clear" w:color="auto" w:fill="auto"/>
            <w:vAlign w:val="center"/>
          </w:tcPr>
          <w:p w14:paraId="52BE12A6" w14:textId="28DD25C4" w:rsidR="00B900A6" w:rsidRPr="00C61151" w:rsidRDefault="005714A9" w:rsidP="00B900A6">
            <w:pPr>
              <w:spacing w:after="0" w:line="240" w:lineRule="auto"/>
              <w:jc w:val="center"/>
              <w:rPr>
                <w:rFonts w:eastAsia="Times New Roman" w:cs="Arial"/>
                <w:color w:val="000000"/>
                <w:sz w:val="16"/>
                <w:lang w:eastAsia="de-AT"/>
              </w:rPr>
            </w:pPr>
            <w:r>
              <w:rPr>
                <w:rFonts w:eastAsia="Times New Roman" w:cs="Arial"/>
                <w:color w:val="000000"/>
                <w:sz w:val="16"/>
                <w:lang w:eastAsia="de-AT"/>
              </w:rPr>
              <w:t>s</w:t>
            </w:r>
            <w:r w:rsidR="00B900A6">
              <w:rPr>
                <w:rFonts w:eastAsia="Times New Roman" w:cs="Arial"/>
                <w:color w:val="000000"/>
                <w:sz w:val="16"/>
                <w:lang w:eastAsia="de-AT"/>
              </w:rPr>
              <w:t>ales of solar heat and PV panels</w:t>
            </w:r>
            <w:r w:rsidR="00945B24">
              <w:rPr>
                <w:rFonts w:eastAsia="Times New Roman" w:cs="Arial"/>
                <w:color w:val="000000"/>
                <w:sz w:val="16"/>
                <w:lang w:eastAsia="de-AT"/>
              </w:rPr>
              <w:t>,</w:t>
            </w:r>
            <w:r w:rsidR="00B900A6" w:rsidRPr="00B82558">
              <w:rPr>
                <w:rFonts w:eastAsia="Times New Roman" w:cs="Arial"/>
                <w:color w:val="000000"/>
                <w:sz w:val="16"/>
                <w:lang w:eastAsia="de-AT"/>
              </w:rPr>
              <w:t xml:space="preserve"> </w:t>
            </w:r>
            <w:r w:rsidR="00B900A6">
              <w:rPr>
                <w:rFonts w:eastAsia="Times New Roman" w:cs="Arial"/>
                <w:color w:val="000000"/>
                <w:sz w:val="16"/>
                <w:lang w:eastAsia="de-AT"/>
              </w:rPr>
              <w:t>and heat pumps</w:t>
            </w:r>
            <w:r w:rsidR="00B900A6">
              <w:rPr>
                <w:rStyle w:val="FootnoteReference"/>
                <w:rFonts w:eastAsia="Times New Roman" w:cs="Arial"/>
                <w:color w:val="000000"/>
                <w:sz w:val="16"/>
                <w:lang w:eastAsia="de-AT"/>
              </w:rPr>
              <w:footnoteReference w:id="3"/>
            </w:r>
          </w:p>
        </w:tc>
      </w:tr>
      <w:tr w:rsidR="00B900A6" w:rsidRPr="00676813" w14:paraId="5A00EDF4" w14:textId="77777777" w:rsidTr="004B7451">
        <w:trPr>
          <w:trHeight w:val="285"/>
          <w:jc w:val="center"/>
        </w:trPr>
        <w:tc>
          <w:tcPr>
            <w:tcW w:w="1217" w:type="pct"/>
            <w:vMerge w:val="restart"/>
            <w:tcBorders>
              <w:top w:val="nil"/>
              <w:left w:val="single" w:sz="8" w:space="0" w:color="auto"/>
              <w:right w:val="single" w:sz="4" w:space="0" w:color="auto"/>
            </w:tcBorders>
            <w:shd w:val="clear" w:color="auto" w:fill="D9D9D9" w:themeFill="background1" w:themeFillShade="D9"/>
            <w:vAlign w:val="center"/>
          </w:tcPr>
          <w:p w14:paraId="4C58D50D" w14:textId="77777777" w:rsidR="00B900A6" w:rsidRDefault="00B900A6" w:rsidP="00B900A6">
            <w:pPr>
              <w:spacing w:after="0" w:line="240" w:lineRule="auto"/>
              <w:jc w:val="center"/>
              <w:rPr>
                <w:rFonts w:eastAsia="Times New Roman" w:cs="Arial"/>
                <w:b/>
                <w:color w:val="000000"/>
                <w:sz w:val="16"/>
                <w:lang w:eastAsia="de-AT"/>
              </w:rPr>
            </w:pPr>
            <w:r>
              <w:rPr>
                <w:rFonts w:eastAsia="Times New Roman" w:cs="Arial"/>
                <w:b/>
                <w:color w:val="000000"/>
                <w:sz w:val="16"/>
                <w:lang w:eastAsia="de-AT"/>
              </w:rPr>
              <w:t>Imports/exports</w:t>
            </w:r>
          </w:p>
        </w:tc>
        <w:tc>
          <w:tcPr>
            <w:tcW w:w="1200" w:type="pct"/>
            <w:tcBorders>
              <w:top w:val="nil"/>
              <w:left w:val="single" w:sz="4" w:space="0" w:color="auto"/>
              <w:right w:val="single" w:sz="4" w:space="0" w:color="auto"/>
            </w:tcBorders>
            <w:shd w:val="clear" w:color="auto" w:fill="D9D9D9" w:themeFill="background1" w:themeFillShade="D9"/>
            <w:vAlign w:val="center"/>
          </w:tcPr>
          <w:p w14:paraId="06F22134" w14:textId="36D9B92F" w:rsidR="00B900A6" w:rsidRDefault="002744CB" w:rsidP="00B900A6">
            <w:pPr>
              <w:spacing w:after="0" w:line="240" w:lineRule="auto"/>
              <w:jc w:val="center"/>
              <w:rPr>
                <w:rFonts w:eastAsia="Times New Roman" w:cs="Arial"/>
                <w:color w:val="000000"/>
                <w:sz w:val="16"/>
                <w:lang w:eastAsia="de-AT"/>
              </w:rPr>
            </w:pPr>
            <w:r>
              <w:rPr>
                <w:rFonts w:eastAsia="Times New Roman" w:cs="Arial"/>
                <w:color w:val="000000"/>
                <w:sz w:val="16"/>
                <w:lang w:eastAsia="de-AT"/>
              </w:rPr>
              <w:t>c</w:t>
            </w:r>
            <w:r w:rsidR="00B900A6">
              <w:rPr>
                <w:rFonts w:eastAsia="Times New Roman" w:cs="Arial"/>
                <w:color w:val="000000"/>
                <w:sz w:val="16"/>
                <w:lang w:eastAsia="de-AT"/>
              </w:rPr>
              <w:t>ustoms data</w:t>
            </w:r>
          </w:p>
        </w:tc>
        <w:tc>
          <w:tcPr>
            <w:tcW w:w="1209" w:type="pct"/>
            <w:tcBorders>
              <w:top w:val="nil"/>
              <w:left w:val="nil"/>
              <w:bottom w:val="single" w:sz="4" w:space="0" w:color="auto"/>
              <w:right w:val="single" w:sz="4" w:space="0" w:color="auto"/>
            </w:tcBorders>
            <w:shd w:val="clear" w:color="auto" w:fill="D9D9D9" w:themeFill="background1" w:themeFillShade="D9"/>
            <w:vAlign w:val="center"/>
          </w:tcPr>
          <w:p w14:paraId="11F07454" w14:textId="194E9219" w:rsidR="00B900A6" w:rsidRDefault="002744CB" w:rsidP="00B900A6">
            <w:pPr>
              <w:spacing w:after="0" w:line="240" w:lineRule="auto"/>
              <w:jc w:val="center"/>
              <w:rPr>
                <w:rFonts w:eastAsia="Times New Roman" w:cs="Arial"/>
                <w:color w:val="000000"/>
                <w:sz w:val="16"/>
                <w:lang w:eastAsia="de-AT"/>
              </w:rPr>
            </w:pPr>
            <w:r>
              <w:rPr>
                <w:rFonts w:eastAsia="Times New Roman" w:cs="Arial"/>
                <w:color w:val="000000"/>
                <w:sz w:val="16"/>
                <w:lang w:eastAsia="de-AT"/>
              </w:rPr>
              <w:t>c</w:t>
            </w:r>
            <w:r w:rsidR="00B900A6">
              <w:rPr>
                <w:rFonts w:eastAsia="Times New Roman" w:cs="Arial"/>
                <w:color w:val="000000"/>
                <w:sz w:val="16"/>
                <w:lang w:eastAsia="de-AT"/>
              </w:rPr>
              <w:t>ustoms/</w:t>
            </w:r>
            <w:r>
              <w:rPr>
                <w:rFonts w:eastAsia="Times New Roman" w:cs="Arial"/>
                <w:color w:val="000000"/>
                <w:sz w:val="16"/>
                <w:lang w:eastAsia="de-AT"/>
              </w:rPr>
              <w:t>m</w:t>
            </w:r>
            <w:r w:rsidR="00B900A6">
              <w:rPr>
                <w:rFonts w:eastAsia="Times New Roman" w:cs="Arial"/>
                <w:color w:val="000000"/>
                <w:sz w:val="16"/>
                <w:lang w:eastAsia="de-AT"/>
              </w:rPr>
              <w:t>inistry of finance</w:t>
            </w:r>
          </w:p>
        </w:tc>
        <w:tc>
          <w:tcPr>
            <w:tcW w:w="1374" w:type="pct"/>
            <w:vMerge w:val="restart"/>
            <w:tcBorders>
              <w:top w:val="single" w:sz="8" w:space="0" w:color="auto"/>
              <w:left w:val="nil"/>
              <w:right w:val="single" w:sz="4" w:space="0" w:color="auto"/>
            </w:tcBorders>
            <w:shd w:val="clear" w:color="auto" w:fill="BFBFBF" w:themeFill="background1" w:themeFillShade="BF"/>
            <w:vAlign w:val="center"/>
          </w:tcPr>
          <w:p w14:paraId="50AB62FA" w14:textId="29B2A37A" w:rsidR="00B900A6" w:rsidRDefault="00E21031" w:rsidP="00B900A6">
            <w:pPr>
              <w:spacing w:after="0" w:line="240" w:lineRule="auto"/>
              <w:jc w:val="center"/>
              <w:rPr>
                <w:rFonts w:eastAsia="Times New Roman" w:cs="Arial"/>
                <w:color w:val="000000"/>
                <w:sz w:val="16"/>
                <w:lang w:eastAsia="de-AT"/>
              </w:rPr>
            </w:pPr>
            <w:r>
              <w:rPr>
                <w:rFonts w:eastAsia="Times New Roman" w:cs="Arial"/>
                <w:color w:val="000000"/>
                <w:sz w:val="16"/>
                <w:lang w:eastAsia="de-AT"/>
              </w:rPr>
              <w:t>i</w:t>
            </w:r>
            <w:r w:rsidR="00B900A6">
              <w:rPr>
                <w:rFonts w:eastAsia="Times New Roman" w:cs="Arial"/>
                <w:color w:val="000000"/>
                <w:sz w:val="16"/>
                <w:lang w:eastAsia="de-AT"/>
              </w:rPr>
              <w:t xml:space="preserve">mports by country of origin and </w:t>
            </w:r>
            <w:r>
              <w:rPr>
                <w:rFonts w:eastAsia="Times New Roman" w:cs="Arial"/>
                <w:color w:val="000000"/>
                <w:sz w:val="16"/>
                <w:lang w:eastAsia="de-AT"/>
              </w:rPr>
              <w:t>e</w:t>
            </w:r>
            <w:r w:rsidR="00B900A6">
              <w:rPr>
                <w:rFonts w:eastAsia="Times New Roman" w:cs="Arial"/>
                <w:color w:val="000000"/>
                <w:sz w:val="16"/>
                <w:lang w:eastAsia="de-AT"/>
              </w:rPr>
              <w:t>xports by country of destination</w:t>
            </w:r>
          </w:p>
        </w:tc>
      </w:tr>
      <w:tr w:rsidR="00B900A6" w:rsidRPr="00676813" w14:paraId="239F2AA0" w14:textId="77777777" w:rsidTr="004B7451">
        <w:trPr>
          <w:trHeight w:val="285"/>
          <w:jc w:val="center"/>
        </w:trPr>
        <w:tc>
          <w:tcPr>
            <w:tcW w:w="1217" w:type="pct"/>
            <w:vMerge/>
            <w:tcBorders>
              <w:left w:val="single" w:sz="8" w:space="0" w:color="auto"/>
              <w:bottom w:val="single" w:sz="8" w:space="0" w:color="000000"/>
              <w:right w:val="single" w:sz="4" w:space="0" w:color="auto"/>
            </w:tcBorders>
            <w:shd w:val="clear" w:color="auto" w:fill="D9D9D9" w:themeFill="background1" w:themeFillShade="D9"/>
            <w:vAlign w:val="center"/>
          </w:tcPr>
          <w:p w14:paraId="78B0120B" w14:textId="77777777" w:rsidR="00B900A6" w:rsidRDefault="00B900A6" w:rsidP="00B900A6">
            <w:pPr>
              <w:spacing w:after="0" w:line="240" w:lineRule="auto"/>
              <w:jc w:val="center"/>
              <w:rPr>
                <w:rFonts w:eastAsia="Times New Roman" w:cs="Arial"/>
                <w:b/>
                <w:color w:val="000000"/>
                <w:sz w:val="16"/>
                <w:lang w:eastAsia="de-AT"/>
              </w:rPr>
            </w:pPr>
          </w:p>
        </w:tc>
        <w:tc>
          <w:tcPr>
            <w:tcW w:w="1200" w:type="pct"/>
            <w:tcBorders>
              <w:left w:val="single" w:sz="4" w:space="0" w:color="auto"/>
              <w:bottom w:val="single" w:sz="8" w:space="0" w:color="000000"/>
              <w:right w:val="single" w:sz="4" w:space="0" w:color="auto"/>
            </w:tcBorders>
            <w:shd w:val="clear" w:color="auto" w:fill="D9D9D9" w:themeFill="background1" w:themeFillShade="D9"/>
            <w:vAlign w:val="center"/>
          </w:tcPr>
          <w:p w14:paraId="15B120B1" w14:textId="1B9849D7" w:rsidR="00B900A6" w:rsidRDefault="002744CB" w:rsidP="00B900A6">
            <w:pPr>
              <w:spacing w:after="0" w:line="240" w:lineRule="auto"/>
              <w:jc w:val="center"/>
              <w:rPr>
                <w:rFonts w:eastAsia="Times New Roman" w:cs="Arial"/>
                <w:color w:val="000000"/>
                <w:sz w:val="16"/>
                <w:lang w:eastAsia="de-AT"/>
              </w:rPr>
            </w:pPr>
            <w:r>
              <w:rPr>
                <w:rFonts w:eastAsia="Times New Roman" w:cs="Arial"/>
                <w:color w:val="000000"/>
                <w:sz w:val="16"/>
                <w:lang w:eastAsia="de-AT"/>
              </w:rPr>
              <w:t>c</w:t>
            </w:r>
            <w:r w:rsidR="00B900A6">
              <w:rPr>
                <w:rFonts w:eastAsia="Times New Roman" w:cs="Arial"/>
                <w:color w:val="000000"/>
                <w:sz w:val="16"/>
                <w:lang w:eastAsia="de-AT"/>
              </w:rPr>
              <w:t>ensus/sample survey</w:t>
            </w:r>
          </w:p>
        </w:tc>
        <w:tc>
          <w:tcPr>
            <w:tcW w:w="1209" w:type="pct"/>
            <w:tcBorders>
              <w:top w:val="nil"/>
              <w:left w:val="nil"/>
              <w:bottom w:val="single" w:sz="4" w:space="0" w:color="auto"/>
              <w:right w:val="single" w:sz="4" w:space="0" w:color="auto"/>
            </w:tcBorders>
            <w:shd w:val="clear" w:color="auto" w:fill="D9D9D9" w:themeFill="background1" w:themeFillShade="D9"/>
            <w:vAlign w:val="center"/>
          </w:tcPr>
          <w:p w14:paraId="473FE0F8" w14:textId="7923C8CE" w:rsidR="00B900A6" w:rsidRDefault="002744CB" w:rsidP="00B900A6">
            <w:pPr>
              <w:spacing w:after="0" w:line="240" w:lineRule="auto"/>
              <w:jc w:val="center"/>
              <w:rPr>
                <w:rFonts w:eastAsia="Times New Roman" w:cs="Arial"/>
                <w:color w:val="000000"/>
                <w:sz w:val="16"/>
                <w:lang w:eastAsia="de-AT"/>
              </w:rPr>
            </w:pPr>
            <w:r>
              <w:rPr>
                <w:rFonts w:eastAsia="Times New Roman" w:cs="Arial"/>
                <w:color w:val="000000"/>
                <w:sz w:val="16"/>
                <w:lang w:eastAsia="de-AT"/>
              </w:rPr>
              <w:t>m</w:t>
            </w:r>
            <w:r w:rsidR="00B900A6">
              <w:rPr>
                <w:rFonts w:eastAsia="Times New Roman" w:cs="Arial"/>
                <w:color w:val="000000"/>
                <w:sz w:val="16"/>
                <w:lang w:eastAsia="de-AT"/>
              </w:rPr>
              <w:t>ain importers/exporters</w:t>
            </w:r>
          </w:p>
        </w:tc>
        <w:tc>
          <w:tcPr>
            <w:tcW w:w="1374" w:type="pct"/>
            <w:vMerge/>
            <w:tcBorders>
              <w:left w:val="nil"/>
              <w:right w:val="single" w:sz="4" w:space="0" w:color="auto"/>
            </w:tcBorders>
            <w:shd w:val="clear" w:color="auto" w:fill="auto"/>
            <w:vAlign w:val="center"/>
          </w:tcPr>
          <w:p w14:paraId="78A66C8C" w14:textId="77777777" w:rsidR="00B900A6" w:rsidRDefault="00B900A6" w:rsidP="00B900A6">
            <w:pPr>
              <w:spacing w:after="0" w:line="240" w:lineRule="auto"/>
              <w:jc w:val="center"/>
              <w:rPr>
                <w:rFonts w:eastAsia="Times New Roman" w:cs="Arial"/>
                <w:color w:val="000000"/>
                <w:sz w:val="16"/>
                <w:lang w:eastAsia="de-AT"/>
              </w:rPr>
            </w:pPr>
          </w:p>
        </w:tc>
      </w:tr>
      <w:tr w:rsidR="00E25A95" w:rsidRPr="00676813" w14:paraId="575E1213" w14:textId="77777777" w:rsidTr="004B7451">
        <w:trPr>
          <w:trHeight w:val="391"/>
          <w:jc w:val="center"/>
        </w:trPr>
        <w:tc>
          <w:tcPr>
            <w:tcW w:w="1217"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C330807" w14:textId="63EECFD7" w:rsidR="00E25A95" w:rsidRPr="0012346F" w:rsidRDefault="00E25A95" w:rsidP="00B900A6">
            <w:pPr>
              <w:spacing w:after="0" w:line="240" w:lineRule="auto"/>
              <w:jc w:val="center"/>
              <w:rPr>
                <w:rFonts w:eastAsia="Times New Roman" w:cs="Arial"/>
                <w:b/>
                <w:color w:val="000000"/>
                <w:sz w:val="16"/>
                <w:lang w:eastAsia="de-AT"/>
              </w:rPr>
            </w:pPr>
            <w:r w:rsidRPr="0012346F">
              <w:rPr>
                <w:rFonts w:eastAsia="Times New Roman" w:cs="Arial"/>
                <w:b/>
                <w:color w:val="000000"/>
                <w:sz w:val="16"/>
                <w:lang w:eastAsia="de-AT"/>
              </w:rPr>
              <w:t xml:space="preserve">Energy </w:t>
            </w:r>
            <w:r>
              <w:rPr>
                <w:rFonts w:eastAsia="Times New Roman" w:cs="Arial"/>
                <w:b/>
                <w:color w:val="000000"/>
                <w:sz w:val="16"/>
                <w:lang w:eastAsia="de-AT"/>
              </w:rPr>
              <w:t>stocks</w:t>
            </w:r>
          </w:p>
          <w:p w14:paraId="3CC7CE75" w14:textId="77777777" w:rsidR="00E25A95" w:rsidRPr="0012346F" w:rsidRDefault="00E25A95" w:rsidP="00B900A6">
            <w:pPr>
              <w:spacing w:after="0" w:line="240" w:lineRule="auto"/>
              <w:jc w:val="center"/>
              <w:rPr>
                <w:rFonts w:eastAsia="Times New Roman" w:cs="Arial"/>
                <w:b/>
                <w:color w:val="000000"/>
                <w:sz w:val="16"/>
                <w:lang w:eastAsia="de-AT"/>
              </w:rPr>
            </w:pPr>
            <w:r>
              <w:rPr>
                <w:rFonts w:eastAsia="Times New Roman" w:cs="Arial"/>
                <w:b/>
                <w:color w:val="000000"/>
                <w:sz w:val="16"/>
                <w:lang w:eastAsia="de-AT"/>
              </w:rPr>
              <w:t>(levels and flows)</w:t>
            </w:r>
          </w:p>
        </w:tc>
        <w:tc>
          <w:tcPr>
            <w:tcW w:w="1200"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58483725" w14:textId="77777777" w:rsidR="00E25A95" w:rsidRPr="00676813" w:rsidRDefault="00E25A95" w:rsidP="00B900A6">
            <w:pPr>
              <w:spacing w:after="0" w:line="240" w:lineRule="auto"/>
              <w:jc w:val="center"/>
              <w:rPr>
                <w:rFonts w:eastAsia="Times New Roman" w:cs="Arial"/>
                <w:color w:val="000000"/>
                <w:sz w:val="16"/>
                <w:lang w:val="de-AT" w:eastAsia="de-AT"/>
              </w:rPr>
            </w:pPr>
            <w:r>
              <w:rPr>
                <w:rFonts w:eastAsia="Times New Roman" w:cs="Arial"/>
                <w:color w:val="000000"/>
                <w:sz w:val="16"/>
                <w:lang w:val="de-AT" w:eastAsia="de-AT"/>
              </w:rPr>
              <w:t>administrative data</w:t>
            </w:r>
          </w:p>
        </w:tc>
        <w:tc>
          <w:tcPr>
            <w:tcW w:w="1209"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65785BB5" w14:textId="77777777" w:rsidR="00E25A95" w:rsidRPr="00676813" w:rsidRDefault="00E25A95" w:rsidP="00B900A6">
            <w:pPr>
              <w:spacing w:after="0" w:line="240" w:lineRule="auto"/>
              <w:jc w:val="center"/>
              <w:rPr>
                <w:rFonts w:eastAsia="Times New Roman" w:cs="Arial"/>
                <w:color w:val="000000"/>
                <w:sz w:val="16"/>
                <w:lang w:val="de-AT" w:eastAsia="de-AT"/>
              </w:rPr>
            </w:pPr>
            <w:r w:rsidRPr="00676813">
              <w:rPr>
                <w:rFonts w:eastAsia="Times New Roman" w:cs="Arial"/>
                <w:color w:val="000000"/>
                <w:sz w:val="16"/>
                <w:lang w:val="de-AT" w:eastAsia="de-AT"/>
              </w:rPr>
              <w:t>data owners</w:t>
            </w:r>
          </w:p>
        </w:tc>
        <w:tc>
          <w:tcPr>
            <w:tcW w:w="1374" w:type="pct"/>
            <w:tcBorders>
              <w:top w:val="single" w:sz="4" w:space="0" w:color="auto"/>
              <w:left w:val="nil"/>
              <w:right w:val="single" w:sz="4" w:space="0" w:color="auto"/>
            </w:tcBorders>
            <w:shd w:val="clear" w:color="auto" w:fill="auto"/>
            <w:vAlign w:val="center"/>
            <w:hideMark/>
          </w:tcPr>
          <w:p w14:paraId="556323B7" w14:textId="5EF6E2CC" w:rsidR="00E25A95" w:rsidRPr="0012346F" w:rsidRDefault="00E25A95" w:rsidP="00E25A95">
            <w:pPr>
              <w:spacing w:after="0" w:line="240" w:lineRule="auto"/>
              <w:jc w:val="center"/>
              <w:rPr>
                <w:rFonts w:eastAsia="Times New Roman" w:cs="Arial"/>
                <w:color w:val="000000"/>
                <w:sz w:val="16"/>
                <w:lang w:eastAsia="de-AT"/>
              </w:rPr>
            </w:pPr>
            <w:r>
              <w:rPr>
                <w:rFonts w:eastAsia="Times New Roman" w:cs="Arial"/>
                <w:color w:val="000000"/>
                <w:sz w:val="16"/>
                <w:lang w:eastAsia="de-AT"/>
              </w:rPr>
              <w:t>stock levels and flows for coal, oil, natural gas</w:t>
            </w:r>
          </w:p>
        </w:tc>
      </w:tr>
      <w:tr w:rsidR="00E25A95" w:rsidRPr="00676813" w14:paraId="4D30E5FE" w14:textId="77777777" w:rsidTr="004B7451">
        <w:trPr>
          <w:trHeight w:val="285"/>
          <w:jc w:val="center"/>
        </w:trPr>
        <w:tc>
          <w:tcPr>
            <w:tcW w:w="1217"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8CB3EB5" w14:textId="77777777" w:rsidR="00E25A95" w:rsidRPr="00FD7511" w:rsidRDefault="00E25A95" w:rsidP="00E25A95">
            <w:pPr>
              <w:spacing w:after="0" w:line="240" w:lineRule="auto"/>
              <w:rPr>
                <w:rFonts w:eastAsia="Times New Roman" w:cs="Arial"/>
                <w:b/>
                <w:color w:val="000000"/>
                <w:sz w:val="16"/>
                <w:lang w:eastAsia="de-AT"/>
              </w:rPr>
            </w:pPr>
          </w:p>
        </w:tc>
        <w:tc>
          <w:tcPr>
            <w:tcW w:w="1200" w:type="pct"/>
            <w:vMerge w:val="restart"/>
            <w:tcBorders>
              <w:top w:val="nil"/>
              <w:left w:val="single" w:sz="4" w:space="0" w:color="auto"/>
              <w:bottom w:val="single" w:sz="8" w:space="0" w:color="000000"/>
              <w:right w:val="single" w:sz="4" w:space="0" w:color="auto"/>
            </w:tcBorders>
            <w:shd w:val="clear" w:color="auto" w:fill="auto"/>
            <w:vAlign w:val="center"/>
            <w:hideMark/>
          </w:tcPr>
          <w:p w14:paraId="783154E1" w14:textId="77777777" w:rsidR="00E25A95" w:rsidRPr="00676813" w:rsidRDefault="00E25A95" w:rsidP="00E25A95">
            <w:pPr>
              <w:spacing w:after="0" w:line="240" w:lineRule="auto"/>
              <w:jc w:val="center"/>
              <w:rPr>
                <w:rFonts w:eastAsia="Times New Roman" w:cs="Arial"/>
                <w:color w:val="000000"/>
                <w:sz w:val="16"/>
                <w:lang w:val="de-AT" w:eastAsia="de-AT"/>
              </w:rPr>
            </w:pPr>
            <w:r w:rsidRPr="00676813">
              <w:rPr>
                <w:rFonts w:eastAsia="Times New Roman" w:cs="Arial"/>
                <w:color w:val="000000"/>
                <w:sz w:val="16"/>
                <w:lang w:val="de-AT" w:eastAsia="de-AT"/>
              </w:rPr>
              <w:t>census/</w:t>
            </w:r>
            <w:r>
              <w:rPr>
                <w:rFonts w:eastAsia="Times New Roman" w:cs="Arial"/>
                <w:color w:val="000000"/>
                <w:sz w:val="16"/>
                <w:lang w:val="de-AT" w:eastAsia="de-AT"/>
              </w:rPr>
              <w:t>sample survey</w:t>
            </w:r>
          </w:p>
        </w:tc>
        <w:tc>
          <w:tcPr>
            <w:tcW w:w="1209" w:type="pct"/>
            <w:tcBorders>
              <w:top w:val="nil"/>
              <w:left w:val="nil"/>
              <w:bottom w:val="single" w:sz="4" w:space="0" w:color="auto"/>
              <w:right w:val="single" w:sz="4" w:space="0" w:color="auto"/>
            </w:tcBorders>
            <w:shd w:val="clear" w:color="auto" w:fill="auto"/>
            <w:vAlign w:val="center"/>
            <w:hideMark/>
          </w:tcPr>
          <w:p w14:paraId="1792459C" w14:textId="0026BB51" w:rsidR="00E25A95" w:rsidRPr="004B7451" w:rsidRDefault="00E25A95" w:rsidP="00E25A95">
            <w:pPr>
              <w:spacing w:after="0" w:line="240" w:lineRule="auto"/>
              <w:jc w:val="center"/>
              <w:rPr>
                <w:rFonts w:eastAsia="Times New Roman" w:cs="Arial"/>
                <w:color w:val="000000"/>
                <w:sz w:val="16"/>
                <w:lang w:eastAsia="de-AT"/>
              </w:rPr>
            </w:pPr>
            <w:r w:rsidRPr="004B7451">
              <w:rPr>
                <w:rFonts w:eastAsia="Times New Roman" w:cs="Arial"/>
                <w:color w:val="000000"/>
                <w:sz w:val="16"/>
                <w:lang w:eastAsia="de-AT"/>
              </w:rPr>
              <w:t>entities in the energy industries,</w:t>
            </w:r>
          </w:p>
        </w:tc>
        <w:tc>
          <w:tcPr>
            <w:tcW w:w="1374" w:type="pct"/>
            <w:tcBorders>
              <w:top w:val="nil"/>
              <w:left w:val="nil"/>
              <w:right w:val="single" w:sz="4" w:space="0" w:color="auto"/>
            </w:tcBorders>
            <w:shd w:val="clear" w:color="auto" w:fill="auto"/>
            <w:vAlign w:val="center"/>
          </w:tcPr>
          <w:p w14:paraId="61852D8A" w14:textId="477ADDBD" w:rsidR="00E25A95" w:rsidRPr="00FD7511" w:rsidRDefault="00E25A95" w:rsidP="00E25A95">
            <w:pPr>
              <w:spacing w:after="0" w:line="240" w:lineRule="auto"/>
              <w:jc w:val="center"/>
              <w:rPr>
                <w:rFonts w:eastAsia="Times New Roman" w:cs="Arial"/>
                <w:color w:val="000000"/>
                <w:sz w:val="16"/>
                <w:lang w:eastAsia="de-AT"/>
              </w:rPr>
            </w:pPr>
            <w:r>
              <w:rPr>
                <w:rFonts w:eastAsia="Times New Roman" w:cs="Arial"/>
                <w:color w:val="000000"/>
                <w:sz w:val="16"/>
                <w:lang w:eastAsia="de-AT"/>
              </w:rPr>
              <w:t>stock levels and flows for biofuels</w:t>
            </w:r>
          </w:p>
        </w:tc>
      </w:tr>
      <w:tr w:rsidR="00E25A95" w:rsidRPr="00676813" w14:paraId="4DD49A68" w14:textId="77777777" w:rsidTr="004B7451">
        <w:trPr>
          <w:trHeight w:val="300"/>
          <w:jc w:val="center"/>
        </w:trPr>
        <w:tc>
          <w:tcPr>
            <w:tcW w:w="1217" w:type="pct"/>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67F41976" w14:textId="77777777" w:rsidR="00E25A95" w:rsidRPr="00FD7511" w:rsidRDefault="00E25A95" w:rsidP="00E25A95">
            <w:pPr>
              <w:spacing w:after="0" w:line="240" w:lineRule="auto"/>
              <w:rPr>
                <w:rFonts w:eastAsia="Times New Roman" w:cs="Arial"/>
                <w:b/>
                <w:color w:val="000000"/>
                <w:sz w:val="16"/>
                <w:lang w:eastAsia="de-AT"/>
              </w:rPr>
            </w:pPr>
          </w:p>
        </w:tc>
        <w:tc>
          <w:tcPr>
            <w:tcW w:w="1200" w:type="pct"/>
            <w:vMerge/>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1A81BC0E" w14:textId="77777777" w:rsidR="00E25A95" w:rsidRPr="00FD7511" w:rsidRDefault="00E25A95" w:rsidP="00E25A95">
            <w:pPr>
              <w:spacing w:after="0" w:line="240" w:lineRule="auto"/>
              <w:rPr>
                <w:rFonts w:eastAsia="Times New Roman" w:cs="Arial"/>
                <w:color w:val="000000"/>
                <w:sz w:val="16"/>
                <w:lang w:eastAsia="de-AT"/>
              </w:rPr>
            </w:pPr>
          </w:p>
        </w:tc>
        <w:tc>
          <w:tcPr>
            <w:tcW w:w="1209" w:type="pct"/>
            <w:tcBorders>
              <w:top w:val="nil"/>
              <w:left w:val="nil"/>
              <w:bottom w:val="single" w:sz="8" w:space="0" w:color="auto"/>
              <w:right w:val="single" w:sz="4" w:space="0" w:color="auto"/>
            </w:tcBorders>
            <w:shd w:val="clear" w:color="auto" w:fill="auto"/>
            <w:vAlign w:val="center"/>
            <w:hideMark/>
          </w:tcPr>
          <w:p w14:paraId="7E18260C" w14:textId="5B16B342" w:rsidR="00E25A95" w:rsidRPr="00C61151" w:rsidRDefault="00E25A95" w:rsidP="00E25A95">
            <w:pPr>
              <w:spacing w:after="0" w:line="240" w:lineRule="auto"/>
              <w:jc w:val="center"/>
              <w:rPr>
                <w:rFonts w:eastAsia="Times New Roman" w:cs="Arial"/>
                <w:color w:val="000000"/>
                <w:sz w:val="16"/>
                <w:lang w:eastAsia="de-AT"/>
              </w:rPr>
            </w:pPr>
            <w:r>
              <w:rPr>
                <w:rFonts w:eastAsia="Times New Roman" w:cs="Arial"/>
                <w:color w:val="000000"/>
                <w:sz w:val="16"/>
                <w:lang w:eastAsia="de-AT"/>
              </w:rPr>
              <w:t>o</w:t>
            </w:r>
            <w:r w:rsidRPr="00C61151">
              <w:rPr>
                <w:rFonts w:eastAsia="Times New Roman" w:cs="Arial"/>
                <w:color w:val="000000"/>
                <w:sz w:val="16"/>
                <w:lang w:eastAsia="de-AT"/>
              </w:rPr>
              <w:t>ther stock keeping entities (mining and big industrial entities)</w:t>
            </w:r>
          </w:p>
        </w:tc>
        <w:tc>
          <w:tcPr>
            <w:tcW w:w="1374" w:type="pct"/>
            <w:tcBorders>
              <w:left w:val="nil"/>
              <w:bottom w:val="single" w:sz="8" w:space="0" w:color="auto"/>
              <w:right w:val="single" w:sz="4" w:space="0" w:color="auto"/>
            </w:tcBorders>
            <w:shd w:val="clear" w:color="auto" w:fill="auto"/>
            <w:vAlign w:val="center"/>
            <w:hideMark/>
          </w:tcPr>
          <w:p w14:paraId="7F7886B4" w14:textId="4D73D3FD" w:rsidR="00E25A95" w:rsidRPr="00C61151" w:rsidRDefault="00E25A95" w:rsidP="00E25A95">
            <w:pPr>
              <w:spacing w:after="0" w:line="240" w:lineRule="auto"/>
              <w:jc w:val="center"/>
              <w:rPr>
                <w:rFonts w:eastAsia="Times New Roman" w:cs="Arial"/>
                <w:color w:val="000000"/>
                <w:sz w:val="16"/>
                <w:lang w:eastAsia="de-AT"/>
              </w:rPr>
            </w:pPr>
            <w:r>
              <w:rPr>
                <w:rFonts w:eastAsia="Times New Roman" w:cs="Arial"/>
                <w:color w:val="000000"/>
                <w:sz w:val="16"/>
                <w:lang w:eastAsia="de-AT"/>
              </w:rPr>
              <w:t>w</w:t>
            </w:r>
            <w:r w:rsidRPr="00FD7511">
              <w:rPr>
                <w:rFonts w:eastAsia="Times New Roman" w:cs="Arial"/>
                <w:color w:val="000000"/>
                <w:sz w:val="16"/>
                <w:lang w:eastAsia="de-AT"/>
              </w:rPr>
              <w:t xml:space="preserve">ater </w:t>
            </w:r>
            <w:r>
              <w:rPr>
                <w:rFonts w:eastAsia="Times New Roman" w:cs="Arial"/>
                <w:color w:val="000000"/>
                <w:sz w:val="16"/>
                <w:lang w:eastAsia="de-AT"/>
              </w:rPr>
              <w:t>content of storage hyd</w:t>
            </w:r>
            <w:r w:rsidRPr="00FD7511">
              <w:rPr>
                <w:rFonts w:eastAsia="Times New Roman" w:cs="Arial"/>
                <w:color w:val="000000"/>
                <w:sz w:val="16"/>
                <w:lang w:eastAsia="de-AT"/>
              </w:rPr>
              <w:t>ro power plants</w:t>
            </w:r>
          </w:p>
        </w:tc>
      </w:tr>
      <w:tr w:rsidR="00E25A95" w:rsidRPr="00676813" w14:paraId="347E6857" w14:textId="77777777" w:rsidTr="004B7451">
        <w:trPr>
          <w:trHeight w:val="285"/>
          <w:jc w:val="center"/>
        </w:trPr>
        <w:tc>
          <w:tcPr>
            <w:tcW w:w="1217" w:type="pct"/>
            <w:vMerge w:val="restart"/>
            <w:tcBorders>
              <w:top w:val="nil"/>
              <w:left w:val="single" w:sz="8" w:space="0" w:color="auto"/>
              <w:right w:val="single" w:sz="4" w:space="0" w:color="auto"/>
            </w:tcBorders>
            <w:shd w:val="clear" w:color="auto" w:fill="D9D9D9" w:themeFill="background1" w:themeFillShade="D9"/>
            <w:vAlign w:val="center"/>
          </w:tcPr>
          <w:p w14:paraId="70345AB9" w14:textId="77777777" w:rsidR="00E25A95" w:rsidRPr="00C61151" w:rsidRDefault="00E25A95" w:rsidP="00E25A95">
            <w:pPr>
              <w:spacing w:after="0" w:line="240" w:lineRule="auto"/>
              <w:jc w:val="center"/>
              <w:rPr>
                <w:rFonts w:eastAsia="Times New Roman" w:cs="Arial"/>
                <w:b/>
                <w:color w:val="000000"/>
                <w:sz w:val="16"/>
                <w:lang w:eastAsia="de-AT"/>
              </w:rPr>
            </w:pPr>
            <w:r>
              <w:rPr>
                <w:rFonts w:eastAsia="Times New Roman" w:cs="Arial"/>
                <w:b/>
                <w:color w:val="000000"/>
                <w:sz w:val="16"/>
                <w:lang w:eastAsia="de-AT"/>
              </w:rPr>
              <w:t>International Bunkers</w:t>
            </w:r>
          </w:p>
        </w:tc>
        <w:tc>
          <w:tcPr>
            <w:tcW w:w="1200" w:type="pct"/>
            <w:vMerge w:val="restart"/>
            <w:tcBorders>
              <w:top w:val="nil"/>
              <w:left w:val="single" w:sz="4" w:space="0" w:color="auto"/>
              <w:right w:val="single" w:sz="4" w:space="0" w:color="auto"/>
            </w:tcBorders>
            <w:shd w:val="clear" w:color="auto" w:fill="D9D9D9" w:themeFill="background1" w:themeFillShade="D9"/>
            <w:vAlign w:val="center"/>
          </w:tcPr>
          <w:p w14:paraId="23896E55" w14:textId="28CD1F3D" w:rsidR="00E25A95" w:rsidRPr="00C61151" w:rsidRDefault="004C3048" w:rsidP="00E25A95">
            <w:pPr>
              <w:spacing w:after="0" w:line="240" w:lineRule="auto"/>
              <w:jc w:val="center"/>
              <w:rPr>
                <w:rFonts w:eastAsia="Times New Roman" w:cs="Arial"/>
                <w:color w:val="000000"/>
                <w:sz w:val="16"/>
                <w:lang w:eastAsia="de-AT"/>
              </w:rPr>
            </w:pPr>
            <w:r>
              <w:rPr>
                <w:rFonts w:eastAsia="Times New Roman" w:cs="Arial"/>
                <w:color w:val="000000"/>
                <w:sz w:val="16"/>
                <w:lang w:eastAsia="de-AT"/>
              </w:rPr>
              <w:t>c</w:t>
            </w:r>
            <w:r w:rsidR="00E25A95">
              <w:rPr>
                <w:rFonts w:eastAsia="Times New Roman" w:cs="Arial"/>
                <w:color w:val="000000"/>
                <w:sz w:val="16"/>
                <w:lang w:eastAsia="de-AT"/>
              </w:rPr>
              <w:t>ensus</w:t>
            </w:r>
          </w:p>
        </w:tc>
        <w:tc>
          <w:tcPr>
            <w:tcW w:w="1209" w:type="pct"/>
            <w:tcBorders>
              <w:top w:val="nil"/>
              <w:left w:val="nil"/>
              <w:bottom w:val="single" w:sz="4" w:space="0" w:color="auto"/>
              <w:right w:val="single" w:sz="4" w:space="0" w:color="auto"/>
            </w:tcBorders>
            <w:shd w:val="clear" w:color="auto" w:fill="D9D9D9" w:themeFill="background1" w:themeFillShade="D9"/>
            <w:vAlign w:val="center"/>
          </w:tcPr>
          <w:p w14:paraId="6A5A87EC" w14:textId="1FCA8963" w:rsidR="00E25A95" w:rsidRPr="00C61151" w:rsidRDefault="004C3048" w:rsidP="00E25A95">
            <w:pPr>
              <w:spacing w:after="0" w:line="240" w:lineRule="auto"/>
              <w:jc w:val="center"/>
              <w:rPr>
                <w:rFonts w:eastAsia="Times New Roman" w:cs="Arial"/>
                <w:color w:val="000000"/>
                <w:sz w:val="16"/>
                <w:lang w:eastAsia="de-AT"/>
              </w:rPr>
            </w:pPr>
            <w:r>
              <w:rPr>
                <w:rFonts w:eastAsia="Times New Roman" w:cs="Arial"/>
                <w:color w:val="000000"/>
                <w:sz w:val="16"/>
                <w:lang w:eastAsia="de-AT"/>
              </w:rPr>
              <w:t>t</w:t>
            </w:r>
            <w:r w:rsidR="00E25A95">
              <w:rPr>
                <w:rFonts w:eastAsia="Times New Roman" w:cs="Arial"/>
                <w:color w:val="000000"/>
                <w:sz w:val="16"/>
                <w:lang w:eastAsia="de-AT"/>
              </w:rPr>
              <w:t>raders</w:t>
            </w:r>
          </w:p>
        </w:tc>
        <w:tc>
          <w:tcPr>
            <w:tcW w:w="1374" w:type="pct"/>
            <w:tcBorders>
              <w:top w:val="single" w:sz="8" w:space="0" w:color="auto"/>
              <w:left w:val="nil"/>
              <w:right w:val="single" w:sz="4" w:space="0" w:color="auto"/>
            </w:tcBorders>
            <w:shd w:val="clear" w:color="auto" w:fill="D9D9D9" w:themeFill="background1" w:themeFillShade="D9"/>
            <w:vAlign w:val="center"/>
          </w:tcPr>
          <w:p w14:paraId="2E1D48CB" w14:textId="0BA16DC4" w:rsidR="00E25A95" w:rsidRPr="00C61151" w:rsidRDefault="004C3048" w:rsidP="00E25A95">
            <w:pPr>
              <w:spacing w:after="0" w:line="240" w:lineRule="auto"/>
              <w:jc w:val="center"/>
              <w:rPr>
                <w:rFonts w:eastAsia="Times New Roman" w:cs="Arial"/>
                <w:color w:val="000000"/>
                <w:sz w:val="16"/>
                <w:lang w:eastAsia="de-AT"/>
              </w:rPr>
            </w:pPr>
            <w:r>
              <w:rPr>
                <w:rFonts w:eastAsia="Times New Roman" w:cs="Arial"/>
                <w:color w:val="000000"/>
                <w:sz w:val="16"/>
                <w:lang w:eastAsia="de-AT"/>
              </w:rPr>
              <w:t>s</w:t>
            </w:r>
            <w:r w:rsidR="00E25A95">
              <w:rPr>
                <w:rFonts w:eastAsia="Times New Roman" w:cs="Arial"/>
                <w:color w:val="000000"/>
                <w:sz w:val="16"/>
                <w:lang w:eastAsia="de-AT"/>
              </w:rPr>
              <w:t xml:space="preserve">ales to nondomestic ocean carriers and airlines </w:t>
            </w:r>
          </w:p>
        </w:tc>
      </w:tr>
      <w:tr w:rsidR="00E25A95" w:rsidRPr="00676813" w14:paraId="03288F30" w14:textId="77777777" w:rsidTr="004B7451">
        <w:trPr>
          <w:trHeight w:val="285"/>
          <w:jc w:val="center"/>
        </w:trPr>
        <w:tc>
          <w:tcPr>
            <w:tcW w:w="1217" w:type="pct"/>
            <w:vMerge/>
            <w:tcBorders>
              <w:left w:val="single" w:sz="8" w:space="0" w:color="auto"/>
              <w:bottom w:val="single" w:sz="8" w:space="0" w:color="000000"/>
              <w:right w:val="single" w:sz="4" w:space="0" w:color="auto"/>
            </w:tcBorders>
            <w:shd w:val="clear" w:color="auto" w:fill="D9D9D9" w:themeFill="background1" w:themeFillShade="D9"/>
            <w:vAlign w:val="center"/>
          </w:tcPr>
          <w:p w14:paraId="7075AE37" w14:textId="77777777" w:rsidR="00E25A95" w:rsidRDefault="00E25A95" w:rsidP="00E25A95">
            <w:pPr>
              <w:spacing w:after="0" w:line="240" w:lineRule="auto"/>
              <w:jc w:val="center"/>
              <w:rPr>
                <w:rFonts w:eastAsia="Times New Roman" w:cs="Arial"/>
                <w:b/>
                <w:color w:val="000000"/>
                <w:sz w:val="16"/>
                <w:lang w:eastAsia="de-AT"/>
              </w:rPr>
            </w:pPr>
          </w:p>
        </w:tc>
        <w:tc>
          <w:tcPr>
            <w:tcW w:w="1200" w:type="pct"/>
            <w:vMerge/>
            <w:tcBorders>
              <w:left w:val="single" w:sz="4" w:space="0" w:color="auto"/>
              <w:bottom w:val="single" w:sz="8" w:space="0" w:color="000000"/>
              <w:right w:val="single" w:sz="4" w:space="0" w:color="auto"/>
            </w:tcBorders>
            <w:shd w:val="clear" w:color="auto" w:fill="D9D9D9" w:themeFill="background1" w:themeFillShade="D9"/>
            <w:vAlign w:val="center"/>
          </w:tcPr>
          <w:p w14:paraId="6DA9614C" w14:textId="77777777" w:rsidR="00E25A95" w:rsidRDefault="00E25A95" w:rsidP="00E25A95">
            <w:pPr>
              <w:spacing w:after="0" w:line="240" w:lineRule="auto"/>
              <w:jc w:val="center"/>
              <w:rPr>
                <w:rFonts w:eastAsia="Times New Roman" w:cs="Arial"/>
                <w:color w:val="000000"/>
                <w:sz w:val="16"/>
                <w:lang w:eastAsia="de-AT"/>
              </w:rPr>
            </w:pPr>
          </w:p>
        </w:tc>
        <w:tc>
          <w:tcPr>
            <w:tcW w:w="1209" w:type="pct"/>
            <w:tcBorders>
              <w:top w:val="nil"/>
              <w:left w:val="nil"/>
              <w:bottom w:val="single" w:sz="4" w:space="0" w:color="auto"/>
              <w:right w:val="single" w:sz="4" w:space="0" w:color="auto"/>
            </w:tcBorders>
            <w:shd w:val="clear" w:color="auto" w:fill="D9D9D9" w:themeFill="background1" w:themeFillShade="D9"/>
            <w:vAlign w:val="center"/>
          </w:tcPr>
          <w:p w14:paraId="1606A16A" w14:textId="2B63FD6D" w:rsidR="00E25A95" w:rsidRDefault="004C3048" w:rsidP="00E25A95">
            <w:pPr>
              <w:spacing w:after="0" w:line="240" w:lineRule="auto"/>
              <w:jc w:val="center"/>
              <w:rPr>
                <w:rFonts w:eastAsia="Times New Roman" w:cs="Arial"/>
                <w:color w:val="000000"/>
                <w:sz w:val="16"/>
                <w:lang w:eastAsia="de-AT"/>
              </w:rPr>
            </w:pPr>
            <w:r>
              <w:rPr>
                <w:rFonts w:eastAsia="Times New Roman" w:cs="Arial"/>
                <w:color w:val="000000"/>
                <w:sz w:val="16"/>
                <w:lang w:eastAsia="de-AT"/>
              </w:rPr>
              <w:t>d</w:t>
            </w:r>
            <w:r w:rsidR="00E25A95">
              <w:rPr>
                <w:rFonts w:eastAsia="Times New Roman" w:cs="Arial"/>
                <w:color w:val="000000"/>
                <w:sz w:val="16"/>
                <w:lang w:eastAsia="de-AT"/>
              </w:rPr>
              <w:t>omestic ocean carriers and airlines</w:t>
            </w:r>
          </w:p>
        </w:tc>
        <w:tc>
          <w:tcPr>
            <w:tcW w:w="1374" w:type="pct"/>
            <w:tcBorders>
              <w:top w:val="single" w:sz="8" w:space="0" w:color="auto"/>
              <w:left w:val="nil"/>
              <w:right w:val="single" w:sz="4" w:space="0" w:color="auto"/>
            </w:tcBorders>
            <w:shd w:val="clear" w:color="auto" w:fill="D9D9D9" w:themeFill="background1" w:themeFillShade="D9"/>
            <w:vAlign w:val="center"/>
          </w:tcPr>
          <w:p w14:paraId="176B1C47" w14:textId="6732D6E9" w:rsidR="00E25A95" w:rsidRDefault="00A87276" w:rsidP="00E25A95">
            <w:pPr>
              <w:spacing w:after="0" w:line="240" w:lineRule="auto"/>
              <w:jc w:val="center"/>
              <w:rPr>
                <w:rFonts w:eastAsia="Times New Roman" w:cs="Arial"/>
                <w:color w:val="000000"/>
                <w:sz w:val="16"/>
                <w:lang w:eastAsia="de-AT"/>
              </w:rPr>
            </w:pPr>
            <w:r>
              <w:rPr>
                <w:rFonts w:eastAsia="Times New Roman" w:cs="Arial"/>
                <w:color w:val="000000"/>
                <w:sz w:val="16"/>
                <w:lang w:eastAsia="de-AT"/>
              </w:rPr>
              <w:t>u</w:t>
            </w:r>
            <w:r w:rsidR="00E25A95">
              <w:rPr>
                <w:rFonts w:eastAsia="Times New Roman" w:cs="Arial"/>
                <w:color w:val="000000"/>
                <w:sz w:val="16"/>
                <w:lang w:eastAsia="de-AT"/>
              </w:rPr>
              <w:t>se of fuels for international shipping and aviation</w:t>
            </w:r>
          </w:p>
        </w:tc>
      </w:tr>
      <w:tr w:rsidR="00DA08EB" w:rsidRPr="004B7451" w14:paraId="7C69ACF0" w14:textId="77777777" w:rsidTr="004B7451">
        <w:trPr>
          <w:trHeight w:val="310"/>
          <w:jc w:val="center"/>
        </w:trPr>
        <w:tc>
          <w:tcPr>
            <w:tcW w:w="1217" w:type="pct"/>
            <w:vMerge w:val="restart"/>
            <w:tcBorders>
              <w:top w:val="nil"/>
              <w:left w:val="single" w:sz="8" w:space="0" w:color="auto"/>
              <w:right w:val="single" w:sz="4" w:space="0" w:color="auto"/>
            </w:tcBorders>
            <w:shd w:val="clear" w:color="auto" w:fill="auto"/>
            <w:vAlign w:val="center"/>
            <w:hideMark/>
          </w:tcPr>
          <w:p w14:paraId="4609CB2D" w14:textId="507028A8" w:rsidR="00DA08EB" w:rsidRPr="002F7AED" w:rsidRDefault="00DA08EB" w:rsidP="00E25A95">
            <w:pPr>
              <w:spacing w:after="0" w:line="240" w:lineRule="auto"/>
              <w:jc w:val="center"/>
              <w:rPr>
                <w:rFonts w:eastAsia="Times New Roman" w:cs="Arial"/>
                <w:b/>
                <w:color w:val="000000"/>
                <w:sz w:val="16"/>
                <w:lang w:eastAsia="de-AT"/>
              </w:rPr>
            </w:pPr>
            <w:r w:rsidRPr="002F7AED">
              <w:rPr>
                <w:rFonts w:eastAsia="Times New Roman" w:cs="Arial"/>
                <w:b/>
                <w:color w:val="000000"/>
                <w:sz w:val="16"/>
                <w:lang w:eastAsia="de-AT"/>
              </w:rPr>
              <w:t>Energy transformation</w:t>
            </w:r>
            <w:r w:rsidR="0003415D">
              <w:rPr>
                <w:rFonts w:eastAsia="Times New Roman" w:cs="Arial"/>
                <w:b/>
                <w:color w:val="000000"/>
                <w:sz w:val="16"/>
                <w:lang w:eastAsia="de-AT"/>
              </w:rPr>
              <w:t xml:space="preserve"> and Secondary production</w:t>
            </w:r>
          </w:p>
          <w:p w14:paraId="00C453AC" w14:textId="63807188" w:rsidR="00DA08EB" w:rsidRPr="002F7AED" w:rsidRDefault="00DA08EB" w:rsidP="004E4766">
            <w:pPr>
              <w:spacing w:after="0" w:line="240" w:lineRule="auto"/>
              <w:jc w:val="center"/>
              <w:rPr>
                <w:rFonts w:eastAsia="Times New Roman" w:cs="Arial"/>
                <w:b/>
                <w:color w:val="000000"/>
                <w:sz w:val="16"/>
                <w:lang w:eastAsia="de-AT"/>
              </w:rPr>
            </w:pPr>
            <w:r w:rsidRPr="002F7AED">
              <w:rPr>
                <w:rFonts w:eastAsia="Times New Roman" w:cs="Arial"/>
                <w:b/>
                <w:color w:val="000000"/>
                <w:sz w:val="16"/>
                <w:lang w:eastAsia="de-AT"/>
              </w:rPr>
              <w:t>(</w:t>
            </w:r>
            <w:proofErr w:type="gramStart"/>
            <w:r w:rsidRPr="002F7AED">
              <w:rPr>
                <w:rFonts w:eastAsia="Times New Roman" w:cs="Arial"/>
                <w:color w:val="000000"/>
                <w:sz w:val="16"/>
                <w:lang w:eastAsia="de-AT"/>
              </w:rPr>
              <w:t>power-plants</w:t>
            </w:r>
            <w:proofErr w:type="gramEnd"/>
            <w:r w:rsidRPr="002F7AED">
              <w:rPr>
                <w:rFonts w:eastAsia="Times New Roman" w:cs="Arial"/>
                <w:color w:val="000000"/>
                <w:sz w:val="16"/>
                <w:lang w:eastAsia="de-AT"/>
              </w:rPr>
              <w:t>, CHP-plants, district heating plants, refineri</w:t>
            </w:r>
            <w:r>
              <w:rPr>
                <w:rFonts w:eastAsia="Times New Roman" w:cs="Arial"/>
                <w:color w:val="000000"/>
                <w:sz w:val="16"/>
                <w:lang w:eastAsia="de-AT"/>
              </w:rPr>
              <w:t>e</w:t>
            </w:r>
            <w:r w:rsidRPr="002F7AED">
              <w:rPr>
                <w:rFonts w:eastAsia="Times New Roman" w:cs="Arial"/>
                <w:color w:val="000000"/>
                <w:sz w:val="16"/>
                <w:lang w:eastAsia="de-AT"/>
              </w:rPr>
              <w:t>s</w:t>
            </w:r>
            <w:r>
              <w:rPr>
                <w:rFonts w:eastAsia="Times New Roman" w:cs="Arial"/>
                <w:color w:val="000000"/>
                <w:sz w:val="16"/>
                <w:lang w:eastAsia="de-AT"/>
              </w:rPr>
              <w:t>…</w:t>
            </w:r>
            <w:r w:rsidRPr="002F7AED">
              <w:rPr>
                <w:rFonts w:eastAsia="Times New Roman" w:cs="Arial"/>
                <w:color w:val="000000"/>
                <w:sz w:val="16"/>
                <w:lang w:eastAsia="de-AT"/>
              </w:rPr>
              <w:t>)</w:t>
            </w:r>
            <w:r>
              <w:rPr>
                <w:rStyle w:val="FootnoteReference"/>
                <w:rFonts w:eastAsia="Times New Roman" w:cs="Arial"/>
                <w:color w:val="000000"/>
                <w:sz w:val="16"/>
                <w:lang w:eastAsia="de-AT"/>
              </w:rPr>
              <w:footnoteReference w:id="4"/>
            </w:r>
          </w:p>
        </w:tc>
        <w:tc>
          <w:tcPr>
            <w:tcW w:w="1200" w:type="pct"/>
            <w:tcBorders>
              <w:top w:val="nil"/>
              <w:left w:val="single" w:sz="4" w:space="0" w:color="auto"/>
              <w:bottom w:val="single" w:sz="8" w:space="0" w:color="000000"/>
              <w:right w:val="single" w:sz="4" w:space="0" w:color="auto"/>
            </w:tcBorders>
            <w:shd w:val="clear" w:color="auto" w:fill="auto"/>
            <w:vAlign w:val="center"/>
          </w:tcPr>
          <w:p w14:paraId="06CA9B32" w14:textId="273BEA0B" w:rsidR="00DA08EB" w:rsidRPr="00676813" w:rsidRDefault="00DA08EB" w:rsidP="00E25A95">
            <w:pPr>
              <w:spacing w:after="0" w:line="240" w:lineRule="auto"/>
              <w:jc w:val="center"/>
              <w:rPr>
                <w:rFonts w:eastAsia="Times New Roman" w:cs="Arial"/>
                <w:color w:val="000000"/>
                <w:sz w:val="16"/>
                <w:lang w:val="de-AT" w:eastAsia="de-AT"/>
              </w:rPr>
            </w:pPr>
            <w:r>
              <w:rPr>
                <w:rFonts w:eastAsia="Times New Roman" w:cs="Arial"/>
                <w:color w:val="000000"/>
                <w:sz w:val="16"/>
                <w:lang w:val="de-AT" w:eastAsia="de-AT"/>
              </w:rPr>
              <w:t>administrative data</w:t>
            </w:r>
          </w:p>
        </w:tc>
        <w:tc>
          <w:tcPr>
            <w:tcW w:w="1209" w:type="pct"/>
            <w:tcBorders>
              <w:top w:val="nil"/>
              <w:left w:val="nil"/>
              <w:bottom w:val="single" w:sz="4" w:space="0" w:color="auto"/>
              <w:right w:val="single" w:sz="4" w:space="0" w:color="auto"/>
            </w:tcBorders>
            <w:shd w:val="clear" w:color="auto" w:fill="auto"/>
            <w:vAlign w:val="center"/>
          </w:tcPr>
          <w:p w14:paraId="25B07900" w14:textId="408E70E7" w:rsidR="00DA08EB" w:rsidRPr="00676813" w:rsidRDefault="00DA08EB" w:rsidP="00E25A95">
            <w:pPr>
              <w:spacing w:after="0" w:line="240" w:lineRule="auto"/>
              <w:jc w:val="center"/>
              <w:rPr>
                <w:rFonts w:eastAsia="Times New Roman" w:cs="Arial"/>
                <w:color w:val="000000"/>
                <w:sz w:val="16"/>
                <w:lang w:val="de-AT" w:eastAsia="de-AT"/>
              </w:rPr>
            </w:pPr>
            <w:r>
              <w:rPr>
                <w:rFonts w:eastAsia="Times New Roman" w:cs="Arial"/>
                <w:color w:val="000000"/>
                <w:sz w:val="16"/>
                <w:lang w:val="de-AT" w:eastAsia="de-AT"/>
              </w:rPr>
              <w:t>data owners</w:t>
            </w:r>
          </w:p>
        </w:tc>
        <w:tc>
          <w:tcPr>
            <w:tcW w:w="1374" w:type="pct"/>
            <w:vMerge w:val="restart"/>
            <w:tcBorders>
              <w:top w:val="single" w:sz="8" w:space="0" w:color="auto"/>
              <w:left w:val="nil"/>
              <w:right w:val="single" w:sz="4" w:space="0" w:color="auto"/>
            </w:tcBorders>
            <w:shd w:val="clear" w:color="auto" w:fill="auto"/>
            <w:vAlign w:val="center"/>
            <w:hideMark/>
          </w:tcPr>
          <w:p w14:paraId="2FBA7CF1" w14:textId="77777777" w:rsidR="00DA08EB" w:rsidRPr="004B7451" w:rsidRDefault="00DA08EB" w:rsidP="00E25A95">
            <w:pPr>
              <w:spacing w:after="0" w:line="240" w:lineRule="auto"/>
              <w:jc w:val="center"/>
              <w:rPr>
                <w:rFonts w:eastAsia="Times New Roman" w:cs="Arial"/>
                <w:color w:val="000000"/>
                <w:sz w:val="16"/>
                <w:lang w:val="fr-FR" w:eastAsia="de-AT"/>
              </w:rPr>
            </w:pPr>
            <w:r w:rsidRPr="004B7451">
              <w:rPr>
                <w:rFonts w:eastAsia="Times New Roman" w:cs="Arial"/>
                <w:color w:val="000000"/>
                <w:sz w:val="16"/>
                <w:lang w:val="fr-FR" w:eastAsia="de-AT"/>
              </w:rPr>
              <w:t>transformation input/</w:t>
            </w:r>
            <w:proofErr w:type="spellStart"/>
            <w:r w:rsidRPr="004B7451">
              <w:rPr>
                <w:rFonts w:eastAsia="Times New Roman" w:cs="Arial"/>
                <w:color w:val="000000"/>
                <w:sz w:val="16"/>
                <w:lang w:val="fr-FR" w:eastAsia="de-AT"/>
              </w:rPr>
              <w:t>losses</w:t>
            </w:r>
            <w:proofErr w:type="spellEnd"/>
          </w:p>
          <w:p w14:paraId="7E1EBDF0" w14:textId="2057EBA4" w:rsidR="00DA08EB" w:rsidRPr="004B7451" w:rsidRDefault="00DA08EB" w:rsidP="00073F0A">
            <w:pPr>
              <w:spacing w:after="0" w:line="240" w:lineRule="auto"/>
              <w:jc w:val="center"/>
              <w:rPr>
                <w:rFonts w:eastAsia="Times New Roman" w:cs="Arial"/>
                <w:color w:val="000000"/>
                <w:sz w:val="16"/>
                <w:lang w:val="fr-FR" w:eastAsia="de-AT"/>
              </w:rPr>
            </w:pPr>
            <w:r w:rsidRPr="004B7451">
              <w:rPr>
                <w:rFonts w:eastAsia="Times New Roman" w:cs="Arial"/>
                <w:color w:val="000000"/>
                <w:sz w:val="16"/>
                <w:lang w:val="fr-FR" w:eastAsia="de-AT"/>
              </w:rPr>
              <w:t>transformation output</w:t>
            </w:r>
          </w:p>
        </w:tc>
      </w:tr>
      <w:tr w:rsidR="00DA08EB" w:rsidRPr="00676813" w14:paraId="5F53A58F" w14:textId="77777777" w:rsidTr="004B7451">
        <w:trPr>
          <w:trHeight w:val="526"/>
          <w:jc w:val="center"/>
        </w:trPr>
        <w:tc>
          <w:tcPr>
            <w:tcW w:w="1217" w:type="pct"/>
            <w:vMerge/>
            <w:tcBorders>
              <w:left w:val="single" w:sz="8" w:space="0" w:color="auto"/>
              <w:right w:val="single" w:sz="4" w:space="0" w:color="auto"/>
            </w:tcBorders>
            <w:shd w:val="clear" w:color="auto" w:fill="auto"/>
            <w:vAlign w:val="center"/>
            <w:hideMark/>
          </w:tcPr>
          <w:p w14:paraId="7D1C6872" w14:textId="77777777" w:rsidR="00DA08EB" w:rsidRPr="004B7451" w:rsidRDefault="00DA08EB" w:rsidP="00073F0A">
            <w:pPr>
              <w:spacing w:after="0" w:line="240" w:lineRule="auto"/>
              <w:rPr>
                <w:rFonts w:eastAsia="Times New Roman" w:cs="Arial"/>
                <w:b/>
                <w:color w:val="000000"/>
                <w:sz w:val="16"/>
                <w:lang w:val="fr-FR" w:eastAsia="de-AT"/>
              </w:rPr>
            </w:pPr>
          </w:p>
        </w:tc>
        <w:tc>
          <w:tcPr>
            <w:tcW w:w="1200" w:type="pct"/>
            <w:vMerge w:val="restart"/>
            <w:tcBorders>
              <w:top w:val="nil"/>
              <w:left w:val="single" w:sz="4" w:space="0" w:color="auto"/>
              <w:right w:val="single" w:sz="4" w:space="0" w:color="auto"/>
            </w:tcBorders>
            <w:shd w:val="clear" w:color="auto" w:fill="auto"/>
            <w:vAlign w:val="center"/>
            <w:hideMark/>
          </w:tcPr>
          <w:p w14:paraId="45DFE7F5" w14:textId="4D3C3A98" w:rsidR="00DA08EB" w:rsidRPr="00676813" w:rsidRDefault="00DA08EB" w:rsidP="004B7451">
            <w:pPr>
              <w:spacing w:after="0" w:line="240" w:lineRule="auto"/>
              <w:jc w:val="center"/>
              <w:rPr>
                <w:rFonts w:eastAsia="Times New Roman" w:cs="Arial"/>
                <w:color w:val="000000"/>
                <w:sz w:val="16"/>
                <w:lang w:val="de-AT" w:eastAsia="de-AT"/>
              </w:rPr>
            </w:pPr>
            <w:r w:rsidRPr="00676813">
              <w:rPr>
                <w:rFonts w:eastAsia="Times New Roman" w:cs="Arial"/>
                <w:color w:val="000000"/>
                <w:sz w:val="16"/>
                <w:lang w:val="de-AT" w:eastAsia="de-AT"/>
              </w:rPr>
              <w:t>census/</w:t>
            </w:r>
            <w:r>
              <w:rPr>
                <w:rFonts w:eastAsia="Times New Roman" w:cs="Arial"/>
                <w:color w:val="000000"/>
                <w:sz w:val="16"/>
                <w:lang w:val="de-AT" w:eastAsia="de-AT"/>
              </w:rPr>
              <w:t>sample survey</w:t>
            </w:r>
          </w:p>
        </w:tc>
        <w:tc>
          <w:tcPr>
            <w:tcW w:w="1209" w:type="pct"/>
            <w:tcBorders>
              <w:top w:val="nil"/>
              <w:left w:val="nil"/>
              <w:bottom w:val="single" w:sz="4" w:space="0" w:color="auto"/>
              <w:right w:val="single" w:sz="4" w:space="0" w:color="auto"/>
            </w:tcBorders>
            <w:shd w:val="clear" w:color="auto" w:fill="auto"/>
            <w:vAlign w:val="center"/>
          </w:tcPr>
          <w:p w14:paraId="39D2764D" w14:textId="338E1DA5" w:rsidR="00DA08EB" w:rsidRPr="004B7451" w:rsidRDefault="00DA08EB" w:rsidP="00073F0A">
            <w:pPr>
              <w:spacing w:after="0" w:line="240" w:lineRule="auto"/>
              <w:jc w:val="center"/>
              <w:rPr>
                <w:rFonts w:eastAsia="Times New Roman" w:cs="Arial"/>
                <w:color w:val="000000"/>
                <w:sz w:val="16"/>
                <w:lang w:eastAsia="de-AT"/>
              </w:rPr>
            </w:pPr>
            <w:r w:rsidRPr="004B7451">
              <w:rPr>
                <w:rFonts w:eastAsia="Times New Roman" w:cs="Arial"/>
                <w:color w:val="000000"/>
                <w:sz w:val="16"/>
                <w:lang w:eastAsia="de-AT"/>
              </w:rPr>
              <w:t>entities in the energy industries</w:t>
            </w:r>
          </w:p>
        </w:tc>
        <w:tc>
          <w:tcPr>
            <w:tcW w:w="1374" w:type="pct"/>
            <w:vMerge/>
            <w:tcBorders>
              <w:left w:val="nil"/>
              <w:right w:val="single" w:sz="4" w:space="0" w:color="auto"/>
            </w:tcBorders>
            <w:shd w:val="clear" w:color="auto" w:fill="auto"/>
            <w:vAlign w:val="center"/>
            <w:hideMark/>
          </w:tcPr>
          <w:p w14:paraId="5A1128B6" w14:textId="65C0C7B6" w:rsidR="00DA08EB" w:rsidRPr="004B7451" w:rsidRDefault="00DA08EB" w:rsidP="00073F0A">
            <w:pPr>
              <w:spacing w:after="0" w:line="240" w:lineRule="auto"/>
              <w:jc w:val="center"/>
              <w:rPr>
                <w:rFonts w:eastAsia="Times New Roman" w:cs="Arial"/>
                <w:color w:val="000000"/>
                <w:sz w:val="16"/>
                <w:lang w:eastAsia="de-AT"/>
              </w:rPr>
            </w:pPr>
          </w:p>
        </w:tc>
      </w:tr>
      <w:tr w:rsidR="00DA08EB" w:rsidRPr="00676813" w14:paraId="7133A9C9" w14:textId="77777777" w:rsidTr="004B7451">
        <w:trPr>
          <w:trHeight w:val="300"/>
          <w:jc w:val="center"/>
        </w:trPr>
        <w:tc>
          <w:tcPr>
            <w:tcW w:w="1217" w:type="pct"/>
            <w:vMerge/>
            <w:tcBorders>
              <w:left w:val="single" w:sz="8" w:space="0" w:color="auto"/>
              <w:bottom w:val="single" w:sz="8" w:space="0" w:color="000000"/>
              <w:right w:val="single" w:sz="4" w:space="0" w:color="auto"/>
            </w:tcBorders>
            <w:shd w:val="clear" w:color="auto" w:fill="auto"/>
            <w:vAlign w:val="center"/>
          </w:tcPr>
          <w:p w14:paraId="0AF41349" w14:textId="77777777" w:rsidR="00DA08EB" w:rsidRPr="004B7451" w:rsidRDefault="00DA08EB" w:rsidP="00073F0A">
            <w:pPr>
              <w:spacing w:after="0" w:line="240" w:lineRule="auto"/>
              <w:rPr>
                <w:rFonts w:eastAsia="Times New Roman" w:cs="Arial"/>
                <w:b/>
                <w:color w:val="000000"/>
                <w:sz w:val="16"/>
                <w:lang w:eastAsia="de-AT"/>
              </w:rPr>
            </w:pPr>
          </w:p>
        </w:tc>
        <w:tc>
          <w:tcPr>
            <w:tcW w:w="1200" w:type="pct"/>
            <w:vMerge/>
            <w:tcBorders>
              <w:left w:val="single" w:sz="4" w:space="0" w:color="auto"/>
              <w:bottom w:val="single" w:sz="8" w:space="0" w:color="000000"/>
              <w:right w:val="single" w:sz="4" w:space="0" w:color="auto"/>
            </w:tcBorders>
            <w:shd w:val="clear" w:color="auto" w:fill="auto"/>
            <w:vAlign w:val="center"/>
          </w:tcPr>
          <w:p w14:paraId="5094909D" w14:textId="77777777" w:rsidR="00DA08EB" w:rsidRPr="004B7451" w:rsidRDefault="00DA08EB" w:rsidP="00073F0A">
            <w:pPr>
              <w:spacing w:after="0" w:line="240" w:lineRule="auto"/>
              <w:jc w:val="center"/>
              <w:rPr>
                <w:rFonts w:eastAsia="Times New Roman" w:cs="Arial"/>
                <w:color w:val="000000"/>
                <w:sz w:val="16"/>
                <w:lang w:eastAsia="de-AT"/>
              </w:rPr>
            </w:pPr>
          </w:p>
        </w:tc>
        <w:tc>
          <w:tcPr>
            <w:tcW w:w="1209" w:type="pct"/>
            <w:tcBorders>
              <w:top w:val="nil"/>
              <w:left w:val="nil"/>
              <w:bottom w:val="single" w:sz="4" w:space="0" w:color="auto"/>
              <w:right w:val="single" w:sz="4" w:space="0" w:color="auto"/>
            </w:tcBorders>
            <w:shd w:val="clear" w:color="auto" w:fill="auto"/>
            <w:vAlign w:val="center"/>
          </w:tcPr>
          <w:p w14:paraId="6E7CC09B" w14:textId="192E3FE0" w:rsidR="00DA08EB" w:rsidRPr="00676813" w:rsidRDefault="00DA08EB" w:rsidP="00073F0A">
            <w:pPr>
              <w:spacing w:after="0" w:line="240" w:lineRule="auto"/>
              <w:jc w:val="center"/>
              <w:rPr>
                <w:rFonts w:eastAsia="Times New Roman" w:cs="Arial"/>
                <w:color w:val="000000"/>
                <w:sz w:val="16"/>
                <w:lang w:val="de-AT" w:eastAsia="de-AT"/>
              </w:rPr>
            </w:pPr>
            <w:r w:rsidRPr="00676813">
              <w:rPr>
                <w:rFonts w:eastAsia="Times New Roman" w:cs="Arial"/>
                <w:color w:val="000000"/>
                <w:sz w:val="16"/>
                <w:lang w:val="de-AT" w:eastAsia="de-AT"/>
              </w:rPr>
              <w:t>other energy producers</w:t>
            </w:r>
          </w:p>
        </w:tc>
        <w:tc>
          <w:tcPr>
            <w:tcW w:w="1374" w:type="pct"/>
            <w:vMerge/>
            <w:tcBorders>
              <w:left w:val="nil"/>
              <w:bottom w:val="single" w:sz="4" w:space="0" w:color="auto"/>
              <w:right w:val="single" w:sz="4" w:space="0" w:color="auto"/>
            </w:tcBorders>
            <w:shd w:val="clear" w:color="auto" w:fill="auto"/>
            <w:vAlign w:val="center"/>
          </w:tcPr>
          <w:p w14:paraId="42F5F7E3" w14:textId="77777777" w:rsidR="00DA08EB" w:rsidRPr="00676813" w:rsidRDefault="00DA08EB" w:rsidP="00073F0A">
            <w:pPr>
              <w:spacing w:after="0" w:line="240" w:lineRule="auto"/>
              <w:jc w:val="center"/>
              <w:rPr>
                <w:rFonts w:eastAsia="Times New Roman" w:cs="Arial"/>
                <w:color w:val="000000"/>
                <w:sz w:val="16"/>
                <w:lang w:val="de-AT" w:eastAsia="de-AT"/>
              </w:rPr>
            </w:pPr>
          </w:p>
        </w:tc>
      </w:tr>
      <w:tr w:rsidR="00EA5ABF" w:rsidRPr="00676813" w14:paraId="68565AAB" w14:textId="77777777" w:rsidTr="004B7451">
        <w:trPr>
          <w:trHeight w:val="188"/>
          <w:jc w:val="center"/>
        </w:trPr>
        <w:tc>
          <w:tcPr>
            <w:tcW w:w="1217" w:type="pct"/>
            <w:vMerge w:val="restart"/>
            <w:tcBorders>
              <w:top w:val="nil"/>
              <w:left w:val="single" w:sz="8" w:space="0" w:color="auto"/>
              <w:right w:val="single" w:sz="4" w:space="0" w:color="auto"/>
            </w:tcBorders>
            <w:shd w:val="clear" w:color="auto" w:fill="D9D9D9" w:themeFill="background1" w:themeFillShade="D9"/>
            <w:vAlign w:val="center"/>
          </w:tcPr>
          <w:p w14:paraId="39DF5695" w14:textId="70175B54" w:rsidR="00EA5ABF" w:rsidRPr="00676813" w:rsidRDefault="00EA5ABF" w:rsidP="004B7451">
            <w:pPr>
              <w:spacing w:after="0" w:line="240" w:lineRule="auto"/>
              <w:jc w:val="center"/>
              <w:rPr>
                <w:rFonts w:eastAsia="Times New Roman" w:cs="Arial"/>
                <w:b/>
                <w:color w:val="000000"/>
                <w:sz w:val="16"/>
                <w:lang w:val="de-AT" w:eastAsia="de-AT"/>
              </w:rPr>
            </w:pPr>
            <w:r>
              <w:rPr>
                <w:rFonts w:eastAsia="Times New Roman" w:cs="Arial"/>
                <w:b/>
                <w:color w:val="000000"/>
                <w:sz w:val="16"/>
                <w:lang w:val="de-AT" w:eastAsia="de-AT"/>
              </w:rPr>
              <w:t>Energy industry own use</w:t>
            </w:r>
          </w:p>
        </w:tc>
        <w:tc>
          <w:tcPr>
            <w:tcW w:w="1200" w:type="pct"/>
            <w:vMerge w:val="restart"/>
            <w:tcBorders>
              <w:top w:val="nil"/>
              <w:left w:val="single" w:sz="4" w:space="0" w:color="auto"/>
              <w:right w:val="single" w:sz="4" w:space="0" w:color="auto"/>
            </w:tcBorders>
            <w:shd w:val="clear" w:color="auto" w:fill="D9D9D9" w:themeFill="background1" w:themeFillShade="D9"/>
            <w:vAlign w:val="center"/>
          </w:tcPr>
          <w:p w14:paraId="4809673F" w14:textId="19B243C2" w:rsidR="00EA5ABF" w:rsidRPr="004B7451" w:rsidRDefault="00EA5ABF" w:rsidP="004B7451">
            <w:pPr>
              <w:spacing w:after="0" w:line="240" w:lineRule="auto"/>
              <w:jc w:val="center"/>
              <w:rPr>
                <w:rFonts w:eastAsia="Times New Roman" w:cs="Arial"/>
                <w:b/>
                <w:color w:val="000000"/>
                <w:sz w:val="16"/>
                <w:lang w:val="de-AT" w:eastAsia="de-AT"/>
              </w:rPr>
            </w:pPr>
            <w:r w:rsidRPr="00676813">
              <w:rPr>
                <w:rFonts w:eastAsia="Times New Roman" w:cs="Arial"/>
                <w:color w:val="000000"/>
                <w:sz w:val="16"/>
                <w:lang w:val="de-AT" w:eastAsia="de-AT"/>
              </w:rPr>
              <w:t>census/</w:t>
            </w:r>
            <w:r>
              <w:rPr>
                <w:rFonts w:eastAsia="Times New Roman" w:cs="Arial"/>
                <w:color w:val="000000"/>
                <w:sz w:val="16"/>
                <w:lang w:val="de-AT" w:eastAsia="de-AT"/>
              </w:rPr>
              <w:t>sample survey</w:t>
            </w:r>
          </w:p>
        </w:tc>
        <w:tc>
          <w:tcPr>
            <w:tcW w:w="1209" w:type="pct"/>
            <w:tcBorders>
              <w:top w:val="nil"/>
              <w:left w:val="nil"/>
              <w:bottom w:val="single" w:sz="4" w:space="0" w:color="auto"/>
              <w:right w:val="single" w:sz="4" w:space="0" w:color="auto"/>
            </w:tcBorders>
            <w:shd w:val="clear" w:color="auto" w:fill="D9D9D9" w:themeFill="background1" w:themeFillShade="D9"/>
            <w:vAlign w:val="center"/>
          </w:tcPr>
          <w:p w14:paraId="2BCAC2EA" w14:textId="669142AF" w:rsidR="00EA5ABF" w:rsidRPr="004B7451" w:rsidRDefault="00EA5ABF" w:rsidP="00EA5ABF">
            <w:pPr>
              <w:spacing w:after="0" w:line="240" w:lineRule="auto"/>
              <w:jc w:val="center"/>
              <w:rPr>
                <w:rFonts w:eastAsia="Times New Roman" w:cs="Arial"/>
                <w:b/>
                <w:color w:val="000000"/>
                <w:sz w:val="16"/>
                <w:lang w:eastAsia="de-AT"/>
              </w:rPr>
            </w:pPr>
            <w:r w:rsidRPr="004B7451">
              <w:rPr>
                <w:rFonts w:eastAsia="Times New Roman" w:cs="Arial"/>
                <w:color w:val="000000"/>
                <w:sz w:val="16"/>
                <w:lang w:eastAsia="de-AT"/>
              </w:rPr>
              <w:t>entities in the energy industries</w:t>
            </w:r>
          </w:p>
        </w:tc>
        <w:tc>
          <w:tcPr>
            <w:tcW w:w="1374" w:type="pct"/>
            <w:vMerge w:val="restart"/>
            <w:tcBorders>
              <w:top w:val="nil"/>
              <w:left w:val="nil"/>
              <w:right w:val="single" w:sz="4" w:space="0" w:color="auto"/>
            </w:tcBorders>
            <w:shd w:val="clear" w:color="auto" w:fill="D9D9D9" w:themeFill="background1" w:themeFillShade="D9"/>
            <w:vAlign w:val="center"/>
          </w:tcPr>
          <w:p w14:paraId="1CA45B7C" w14:textId="7FA52A5B" w:rsidR="00EA5ABF" w:rsidRPr="004B7451" w:rsidRDefault="00EA5ABF" w:rsidP="00EA5ABF">
            <w:pPr>
              <w:spacing w:after="0" w:line="240" w:lineRule="auto"/>
              <w:jc w:val="center"/>
              <w:rPr>
                <w:rFonts w:eastAsia="Times New Roman" w:cs="Arial"/>
                <w:color w:val="000000"/>
                <w:sz w:val="16"/>
                <w:lang w:eastAsia="de-AT"/>
              </w:rPr>
            </w:pPr>
            <w:r w:rsidRPr="004B7451">
              <w:rPr>
                <w:rFonts w:eastAsia="Times New Roman" w:cs="Arial"/>
                <w:color w:val="000000"/>
                <w:sz w:val="16"/>
                <w:lang w:eastAsia="de-AT"/>
              </w:rPr>
              <w:t>own use of energy products in energy industries</w:t>
            </w:r>
          </w:p>
        </w:tc>
      </w:tr>
      <w:tr w:rsidR="00EA5ABF" w:rsidRPr="00676813" w14:paraId="56429BC0" w14:textId="77777777" w:rsidTr="004B7451">
        <w:trPr>
          <w:trHeight w:val="275"/>
          <w:jc w:val="center"/>
        </w:trPr>
        <w:tc>
          <w:tcPr>
            <w:tcW w:w="1217" w:type="pct"/>
            <w:vMerge/>
            <w:tcBorders>
              <w:left w:val="single" w:sz="8" w:space="0" w:color="auto"/>
              <w:bottom w:val="single" w:sz="8" w:space="0" w:color="000000"/>
              <w:right w:val="single" w:sz="4" w:space="0" w:color="auto"/>
            </w:tcBorders>
            <w:shd w:val="clear" w:color="auto" w:fill="D9D9D9" w:themeFill="background1" w:themeFillShade="D9"/>
            <w:vAlign w:val="center"/>
          </w:tcPr>
          <w:p w14:paraId="493B6CB4" w14:textId="77777777" w:rsidR="00EA5ABF" w:rsidRPr="004B7451" w:rsidRDefault="00EA5ABF" w:rsidP="00EA5ABF">
            <w:pPr>
              <w:spacing w:after="0" w:line="240" w:lineRule="auto"/>
              <w:jc w:val="center"/>
              <w:rPr>
                <w:rFonts w:eastAsia="Times New Roman" w:cs="Arial"/>
                <w:b/>
                <w:color w:val="000000"/>
                <w:sz w:val="16"/>
                <w:lang w:eastAsia="de-AT"/>
              </w:rPr>
            </w:pPr>
          </w:p>
        </w:tc>
        <w:tc>
          <w:tcPr>
            <w:tcW w:w="1200" w:type="pct"/>
            <w:vMerge/>
            <w:tcBorders>
              <w:left w:val="single" w:sz="4" w:space="0" w:color="auto"/>
              <w:bottom w:val="single" w:sz="8" w:space="0" w:color="000000"/>
              <w:right w:val="single" w:sz="4" w:space="0" w:color="auto"/>
            </w:tcBorders>
            <w:shd w:val="clear" w:color="auto" w:fill="D9D9D9" w:themeFill="background1" w:themeFillShade="D9"/>
            <w:vAlign w:val="center"/>
          </w:tcPr>
          <w:p w14:paraId="07C61F7E" w14:textId="77777777" w:rsidR="00EA5ABF" w:rsidRPr="004B7451" w:rsidRDefault="00EA5ABF" w:rsidP="00EA5ABF">
            <w:pPr>
              <w:spacing w:after="0" w:line="240" w:lineRule="auto"/>
              <w:jc w:val="center"/>
              <w:rPr>
                <w:rFonts w:eastAsia="Times New Roman" w:cs="Arial"/>
                <w:color w:val="000000"/>
                <w:sz w:val="16"/>
                <w:lang w:eastAsia="de-AT"/>
              </w:rPr>
            </w:pPr>
          </w:p>
        </w:tc>
        <w:tc>
          <w:tcPr>
            <w:tcW w:w="1209" w:type="pct"/>
            <w:tcBorders>
              <w:top w:val="nil"/>
              <w:left w:val="nil"/>
              <w:bottom w:val="single" w:sz="4" w:space="0" w:color="auto"/>
              <w:right w:val="single" w:sz="4" w:space="0" w:color="auto"/>
            </w:tcBorders>
            <w:shd w:val="clear" w:color="auto" w:fill="D9D9D9" w:themeFill="background1" w:themeFillShade="D9"/>
            <w:vAlign w:val="center"/>
          </w:tcPr>
          <w:p w14:paraId="56B2E00A" w14:textId="25F221F2" w:rsidR="00EA5ABF" w:rsidRPr="00EA5ABF" w:rsidRDefault="00EA5ABF" w:rsidP="00EA5ABF">
            <w:pPr>
              <w:spacing w:after="0" w:line="240" w:lineRule="auto"/>
              <w:jc w:val="center"/>
              <w:rPr>
                <w:rFonts w:eastAsia="Times New Roman" w:cs="Arial"/>
                <w:b/>
                <w:color w:val="000000"/>
                <w:sz w:val="16"/>
                <w:lang w:val="de-AT" w:eastAsia="de-AT"/>
              </w:rPr>
            </w:pPr>
            <w:r w:rsidRPr="00676813">
              <w:rPr>
                <w:rFonts w:eastAsia="Times New Roman" w:cs="Arial"/>
                <w:color w:val="000000"/>
                <w:sz w:val="16"/>
                <w:lang w:val="de-AT" w:eastAsia="de-AT"/>
              </w:rPr>
              <w:t>other energy producers</w:t>
            </w:r>
          </w:p>
        </w:tc>
        <w:tc>
          <w:tcPr>
            <w:tcW w:w="1374" w:type="pct"/>
            <w:vMerge/>
            <w:tcBorders>
              <w:left w:val="nil"/>
              <w:bottom w:val="single" w:sz="4" w:space="0" w:color="auto"/>
              <w:right w:val="single" w:sz="4" w:space="0" w:color="auto"/>
            </w:tcBorders>
            <w:shd w:val="clear" w:color="auto" w:fill="D9D9D9" w:themeFill="background1" w:themeFillShade="D9"/>
            <w:vAlign w:val="center"/>
          </w:tcPr>
          <w:p w14:paraId="2749D379" w14:textId="77777777" w:rsidR="00EA5ABF" w:rsidRPr="00EA5ABF" w:rsidRDefault="00EA5ABF" w:rsidP="00EA5ABF">
            <w:pPr>
              <w:spacing w:after="0" w:line="240" w:lineRule="auto"/>
              <w:jc w:val="center"/>
              <w:rPr>
                <w:rFonts w:eastAsia="Times New Roman" w:cs="Arial"/>
                <w:b/>
                <w:color w:val="000000"/>
                <w:sz w:val="16"/>
                <w:lang w:val="de-AT" w:eastAsia="de-AT"/>
              </w:rPr>
            </w:pPr>
          </w:p>
        </w:tc>
      </w:tr>
      <w:tr w:rsidR="00EA5ABF" w:rsidRPr="00676813" w14:paraId="5DE401D0" w14:textId="77777777" w:rsidTr="004B7451">
        <w:trPr>
          <w:trHeight w:val="680"/>
          <w:jc w:val="center"/>
        </w:trPr>
        <w:tc>
          <w:tcPr>
            <w:tcW w:w="1217" w:type="pct"/>
            <w:vMerge w:val="restart"/>
            <w:tcBorders>
              <w:top w:val="nil"/>
              <w:left w:val="single" w:sz="8" w:space="0" w:color="auto"/>
              <w:bottom w:val="single" w:sz="8" w:space="0" w:color="000000"/>
              <w:right w:val="single" w:sz="4" w:space="0" w:color="auto"/>
            </w:tcBorders>
            <w:shd w:val="clear" w:color="auto" w:fill="auto"/>
            <w:vAlign w:val="center"/>
            <w:hideMark/>
          </w:tcPr>
          <w:p w14:paraId="270337D1" w14:textId="0AFF6728" w:rsidR="00EA5ABF" w:rsidRPr="00676813" w:rsidRDefault="00EA5ABF" w:rsidP="004B7451">
            <w:pPr>
              <w:spacing w:after="0" w:line="240" w:lineRule="auto"/>
              <w:jc w:val="center"/>
              <w:rPr>
                <w:rFonts w:eastAsia="Times New Roman" w:cs="Arial"/>
                <w:b/>
                <w:color w:val="000000"/>
                <w:sz w:val="16"/>
                <w:lang w:val="de-AT" w:eastAsia="de-AT"/>
              </w:rPr>
            </w:pPr>
            <w:r>
              <w:rPr>
                <w:rFonts w:eastAsia="Times New Roman" w:cs="Arial"/>
                <w:b/>
                <w:color w:val="000000"/>
                <w:sz w:val="16"/>
                <w:lang w:val="de-AT" w:eastAsia="de-AT"/>
              </w:rPr>
              <w:t>Final consumption</w:t>
            </w:r>
          </w:p>
        </w:tc>
        <w:tc>
          <w:tcPr>
            <w:tcW w:w="1200" w:type="pct"/>
            <w:tcBorders>
              <w:top w:val="nil"/>
              <w:left w:val="single" w:sz="4" w:space="0" w:color="auto"/>
              <w:bottom w:val="single" w:sz="4" w:space="0" w:color="auto"/>
              <w:right w:val="single" w:sz="4" w:space="0" w:color="auto"/>
            </w:tcBorders>
            <w:shd w:val="clear" w:color="auto" w:fill="auto"/>
            <w:vAlign w:val="center"/>
            <w:hideMark/>
          </w:tcPr>
          <w:p w14:paraId="418110BC" w14:textId="73D03F43" w:rsidR="00EA5ABF" w:rsidRPr="00676813" w:rsidRDefault="00EA5ABF" w:rsidP="004B7451">
            <w:pPr>
              <w:spacing w:after="0" w:line="240" w:lineRule="auto"/>
              <w:jc w:val="center"/>
              <w:rPr>
                <w:rFonts w:eastAsia="Times New Roman" w:cs="Arial"/>
                <w:color w:val="000000"/>
                <w:sz w:val="16"/>
                <w:lang w:eastAsia="de-AT"/>
              </w:rPr>
            </w:pPr>
            <w:r>
              <w:rPr>
                <w:rFonts w:eastAsia="Times New Roman" w:cs="Arial"/>
                <w:color w:val="000000"/>
                <w:sz w:val="16"/>
                <w:lang w:eastAsia="de-AT"/>
              </w:rPr>
              <w:t>b</w:t>
            </w:r>
            <w:r w:rsidRPr="00676813">
              <w:rPr>
                <w:rFonts w:eastAsia="Times New Roman" w:cs="Arial"/>
                <w:color w:val="000000"/>
                <w:sz w:val="16"/>
                <w:lang w:eastAsia="de-AT"/>
              </w:rPr>
              <w:t xml:space="preserve">usiness </w:t>
            </w:r>
            <w:r w:rsidR="004B7451">
              <w:rPr>
                <w:rFonts w:eastAsia="Times New Roman" w:cs="Arial"/>
                <w:color w:val="000000"/>
                <w:sz w:val="16"/>
                <w:lang w:eastAsia="de-AT"/>
              </w:rPr>
              <w:t xml:space="preserve">data </w:t>
            </w:r>
            <w:r w:rsidRPr="00676813">
              <w:rPr>
                <w:rFonts w:eastAsia="Times New Roman" w:cs="Arial"/>
                <w:color w:val="000000"/>
                <w:sz w:val="16"/>
                <w:lang w:eastAsia="de-AT"/>
              </w:rPr>
              <w:t xml:space="preserve"> from </w:t>
            </w:r>
            <w:r>
              <w:rPr>
                <w:rFonts w:eastAsia="Times New Roman" w:cs="Arial"/>
                <w:color w:val="000000"/>
                <w:sz w:val="16"/>
                <w:lang w:eastAsia="de-AT"/>
              </w:rPr>
              <w:t>e</w:t>
            </w:r>
            <w:r w:rsidRPr="00676813">
              <w:rPr>
                <w:rFonts w:eastAsia="Times New Roman" w:cs="Arial"/>
                <w:color w:val="000000"/>
                <w:sz w:val="16"/>
                <w:lang w:eastAsia="de-AT"/>
              </w:rPr>
              <w:t>nergy industries</w:t>
            </w:r>
          </w:p>
        </w:tc>
        <w:tc>
          <w:tcPr>
            <w:tcW w:w="1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6BE4E6" w14:textId="77777777" w:rsidR="00EA5ABF" w:rsidRPr="00676813" w:rsidRDefault="00EA5ABF" w:rsidP="004B7451">
            <w:pPr>
              <w:spacing w:after="0" w:line="240" w:lineRule="auto"/>
              <w:jc w:val="center"/>
              <w:rPr>
                <w:rFonts w:eastAsia="Times New Roman" w:cs="Arial"/>
                <w:color w:val="000000"/>
                <w:sz w:val="16"/>
                <w:lang w:val="de-AT" w:eastAsia="de-AT"/>
              </w:rPr>
            </w:pPr>
            <w:r w:rsidRPr="00676813">
              <w:rPr>
                <w:rFonts w:eastAsia="Times New Roman" w:cs="Arial"/>
                <w:color w:val="000000"/>
                <w:sz w:val="16"/>
                <w:lang w:val="de-AT" w:eastAsia="de-AT"/>
              </w:rPr>
              <w:t>data owners</w:t>
            </w:r>
            <w:r>
              <w:rPr>
                <w:rFonts w:eastAsia="Times New Roman" w:cs="Arial"/>
                <w:color w:val="000000"/>
                <w:sz w:val="16"/>
                <w:lang w:val="de-AT" w:eastAsia="de-AT"/>
              </w:rPr>
              <w:t>, resellers/distributors</w:t>
            </w:r>
          </w:p>
        </w:tc>
        <w:tc>
          <w:tcPr>
            <w:tcW w:w="1374" w:type="pct"/>
            <w:tcBorders>
              <w:top w:val="single" w:sz="4" w:space="0" w:color="auto"/>
              <w:left w:val="nil"/>
              <w:bottom w:val="single" w:sz="4" w:space="0" w:color="auto"/>
              <w:right w:val="single" w:sz="4" w:space="0" w:color="auto"/>
            </w:tcBorders>
            <w:shd w:val="clear" w:color="auto" w:fill="auto"/>
            <w:vAlign w:val="center"/>
            <w:hideMark/>
          </w:tcPr>
          <w:p w14:paraId="393914E9" w14:textId="6E14009B" w:rsidR="00EA5ABF" w:rsidRPr="004B7451" w:rsidRDefault="00EA5ABF" w:rsidP="004B7451">
            <w:pPr>
              <w:spacing w:after="0" w:line="240" w:lineRule="auto"/>
              <w:jc w:val="center"/>
              <w:rPr>
                <w:rFonts w:eastAsia="Times New Roman" w:cs="Arial"/>
                <w:color w:val="000000"/>
                <w:sz w:val="16"/>
                <w:lang w:eastAsia="de-AT"/>
              </w:rPr>
            </w:pPr>
            <w:r w:rsidRPr="004B7451">
              <w:rPr>
                <w:rFonts w:eastAsia="Times New Roman" w:cs="Arial"/>
                <w:color w:val="000000"/>
                <w:sz w:val="16"/>
                <w:lang w:eastAsia="de-AT"/>
              </w:rPr>
              <w:t>final energy consumption (incl. tra</w:t>
            </w:r>
            <w:r w:rsidR="001204D8" w:rsidRPr="004B7451">
              <w:rPr>
                <w:rFonts w:eastAsia="Times New Roman" w:cs="Arial"/>
                <w:color w:val="000000"/>
                <w:sz w:val="16"/>
                <w:lang w:eastAsia="de-AT"/>
              </w:rPr>
              <w:t>n</w:t>
            </w:r>
            <w:r w:rsidRPr="004B7451">
              <w:rPr>
                <w:rFonts w:eastAsia="Times New Roman" w:cs="Arial"/>
                <w:color w:val="000000"/>
                <w:sz w:val="16"/>
                <w:lang w:eastAsia="de-AT"/>
              </w:rPr>
              <w:t>sport)</w:t>
            </w:r>
          </w:p>
        </w:tc>
      </w:tr>
      <w:tr w:rsidR="00EA5ABF" w:rsidRPr="00676813" w14:paraId="546D9D47" w14:textId="77777777" w:rsidTr="004B7451">
        <w:trPr>
          <w:trHeight w:val="300"/>
          <w:jc w:val="center"/>
        </w:trPr>
        <w:tc>
          <w:tcPr>
            <w:tcW w:w="1217" w:type="pct"/>
            <w:vMerge/>
            <w:tcBorders>
              <w:top w:val="nil"/>
              <w:left w:val="single" w:sz="8" w:space="0" w:color="auto"/>
              <w:bottom w:val="single" w:sz="4" w:space="0" w:color="auto"/>
              <w:right w:val="single" w:sz="4" w:space="0" w:color="auto"/>
            </w:tcBorders>
            <w:shd w:val="clear" w:color="auto" w:fill="auto"/>
            <w:vAlign w:val="center"/>
            <w:hideMark/>
          </w:tcPr>
          <w:p w14:paraId="0F267A3B" w14:textId="77777777" w:rsidR="00EA5ABF" w:rsidRPr="004B7451" w:rsidRDefault="00EA5ABF" w:rsidP="00EA5ABF">
            <w:pPr>
              <w:spacing w:after="0" w:line="240" w:lineRule="auto"/>
              <w:rPr>
                <w:rFonts w:eastAsia="Times New Roman" w:cs="Arial"/>
                <w:b/>
                <w:color w:val="000000"/>
                <w:sz w:val="16"/>
                <w:lang w:eastAsia="de-AT"/>
              </w:rPr>
            </w:pPr>
          </w:p>
        </w:tc>
        <w:tc>
          <w:tcPr>
            <w:tcW w:w="1200" w:type="pct"/>
            <w:tcBorders>
              <w:top w:val="nil"/>
              <w:left w:val="single" w:sz="4" w:space="0" w:color="auto"/>
              <w:bottom w:val="single" w:sz="4" w:space="0" w:color="auto"/>
              <w:right w:val="single" w:sz="4" w:space="0" w:color="auto"/>
            </w:tcBorders>
            <w:shd w:val="clear" w:color="auto" w:fill="auto"/>
            <w:vAlign w:val="center"/>
            <w:hideMark/>
          </w:tcPr>
          <w:p w14:paraId="522BF1F7" w14:textId="77777777" w:rsidR="00EA5ABF" w:rsidRPr="00676813" w:rsidRDefault="00EA5ABF" w:rsidP="004B7451">
            <w:pPr>
              <w:spacing w:after="0" w:line="240" w:lineRule="auto"/>
              <w:jc w:val="center"/>
              <w:rPr>
                <w:rFonts w:eastAsia="Times New Roman" w:cs="Arial"/>
                <w:color w:val="000000"/>
                <w:sz w:val="16"/>
                <w:lang w:val="de-AT" w:eastAsia="de-AT"/>
              </w:rPr>
            </w:pPr>
            <w:r w:rsidRPr="00676813">
              <w:rPr>
                <w:rFonts w:eastAsia="Times New Roman" w:cs="Arial"/>
                <w:color w:val="000000"/>
                <w:sz w:val="16"/>
                <w:lang w:val="de-AT" w:eastAsia="de-AT"/>
              </w:rPr>
              <w:t>sample surveys</w:t>
            </w:r>
          </w:p>
        </w:tc>
        <w:tc>
          <w:tcPr>
            <w:tcW w:w="1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E63F9" w14:textId="77777777" w:rsidR="00EA5ABF" w:rsidRPr="00676813" w:rsidRDefault="00EA5ABF" w:rsidP="004B7451">
            <w:pPr>
              <w:spacing w:after="0" w:line="240" w:lineRule="auto"/>
              <w:jc w:val="center"/>
              <w:rPr>
                <w:rFonts w:eastAsia="Times New Roman" w:cs="Arial"/>
                <w:color w:val="000000"/>
                <w:sz w:val="16"/>
                <w:lang w:val="de-AT" w:eastAsia="de-AT"/>
              </w:rPr>
            </w:pPr>
            <w:r w:rsidRPr="00676813">
              <w:rPr>
                <w:rFonts w:eastAsia="Times New Roman" w:cs="Arial"/>
                <w:color w:val="000000"/>
                <w:sz w:val="16"/>
                <w:lang w:val="de-AT" w:eastAsia="de-AT"/>
              </w:rPr>
              <w:t>consumers</w:t>
            </w:r>
            <w:r>
              <w:rPr>
                <w:rStyle w:val="FootnoteReference"/>
                <w:rFonts w:eastAsia="Times New Roman" w:cs="Arial"/>
                <w:color w:val="000000"/>
                <w:sz w:val="16"/>
                <w:lang w:val="de-AT" w:eastAsia="de-AT"/>
              </w:rPr>
              <w:footnoteReference w:id="5"/>
            </w:r>
          </w:p>
        </w:tc>
        <w:tc>
          <w:tcPr>
            <w:tcW w:w="1374" w:type="pct"/>
            <w:tcBorders>
              <w:top w:val="single" w:sz="4" w:space="0" w:color="auto"/>
              <w:left w:val="nil"/>
              <w:bottom w:val="single" w:sz="4" w:space="0" w:color="auto"/>
              <w:right w:val="single" w:sz="4" w:space="0" w:color="auto"/>
            </w:tcBorders>
            <w:shd w:val="clear" w:color="auto" w:fill="auto"/>
            <w:vAlign w:val="center"/>
            <w:hideMark/>
          </w:tcPr>
          <w:p w14:paraId="267E4018" w14:textId="77777777" w:rsidR="00EA5ABF" w:rsidRPr="00676813" w:rsidRDefault="00EA5ABF" w:rsidP="004B7451">
            <w:pPr>
              <w:spacing w:after="0" w:line="240" w:lineRule="auto"/>
              <w:jc w:val="center"/>
              <w:rPr>
                <w:rFonts w:eastAsia="Times New Roman" w:cs="Arial"/>
                <w:color w:val="000000"/>
                <w:sz w:val="16"/>
                <w:lang w:val="de-AT" w:eastAsia="de-AT"/>
              </w:rPr>
            </w:pPr>
            <w:r w:rsidRPr="00676813">
              <w:rPr>
                <w:rFonts w:eastAsia="Times New Roman" w:cs="Arial"/>
                <w:color w:val="000000"/>
                <w:sz w:val="16"/>
                <w:lang w:val="de-AT" w:eastAsia="de-AT"/>
              </w:rPr>
              <w:t>non energy consumption</w:t>
            </w:r>
          </w:p>
        </w:tc>
      </w:tr>
      <w:tr w:rsidR="000D34F7" w:rsidRPr="00676813" w14:paraId="70CB0DF6" w14:textId="77777777" w:rsidTr="00C42839">
        <w:trPr>
          <w:trHeight w:val="428"/>
          <w:jc w:val="center"/>
        </w:trPr>
        <w:tc>
          <w:tcPr>
            <w:tcW w:w="1217" w:type="pct"/>
            <w:vMerge w:val="restar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C378E5A" w14:textId="77777777" w:rsidR="000D34F7" w:rsidRPr="00676813" w:rsidRDefault="000D34F7" w:rsidP="00EA5ABF">
            <w:pPr>
              <w:spacing w:after="0" w:line="240" w:lineRule="auto"/>
              <w:jc w:val="center"/>
              <w:rPr>
                <w:rFonts w:eastAsia="Times New Roman" w:cs="Arial"/>
                <w:b/>
                <w:color w:val="000000"/>
                <w:sz w:val="16"/>
                <w:lang w:val="de-AT" w:eastAsia="de-AT"/>
              </w:rPr>
            </w:pPr>
            <w:r w:rsidRPr="00676813">
              <w:rPr>
                <w:rFonts w:eastAsia="Times New Roman" w:cs="Arial"/>
                <w:b/>
                <w:color w:val="000000"/>
                <w:sz w:val="16"/>
                <w:lang w:val="de-AT" w:eastAsia="de-AT"/>
              </w:rPr>
              <w:t>Energy prices</w:t>
            </w:r>
          </w:p>
        </w:tc>
        <w:tc>
          <w:tcPr>
            <w:tcW w:w="1200" w:type="pct"/>
            <w:tcBorders>
              <w:top w:val="single" w:sz="4" w:space="0" w:color="auto"/>
              <w:left w:val="single" w:sz="4" w:space="0" w:color="auto"/>
              <w:right w:val="single" w:sz="4" w:space="0" w:color="auto"/>
            </w:tcBorders>
            <w:shd w:val="clear" w:color="auto" w:fill="D9D9D9" w:themeFill="background1" w:themeFillShade="D9"/>
            <w:vAlign w:val="center"/>
          </w:tcPr>
          <w:p w14:paraId="4A5CD934" w14:textId="77777777" w:rsidR="000D34F7" w:rsidRPr="00676813" w:rsidRDefault="000D34F7" w:rsidP="00EA5ABF">
            <w:pPr>
              <w:spacing w:after="0" w:line="240" w:lineRule="auto"/>
              <w:jc w:val="center"/>
              <w:rPr>
                <w:rFonts w:eastAsia="Times New Roman" w:cs="Arial"/>
                <w:color w:val="000000"/>
                <w:sz w:val="16"/>
                <w:lang w:val="de-AT" w:eastAsia="de-AT"/>
              </w:rPr>
            </w:pPr>
            <w:r w:rsidRPr="00676813">
              <w:rPr>
                <w:rFonts w:eastAsia="Times New Roman" w:cs="Arial"/>
                <w:color w:val="000000"/>
                <w:sz w:val="16"/>
                <w:lang w:val="de-AT" w:eastAsia="de-AT"/>
              </w:rPr>
              <w:t>census/</w:t>
            </w:r>
            <w:r>
              <w:rPr>
                <w:rFonts w:eastAsia="Times New Roman" w:cs="Arial"/>
                <w:color w:val="000000"/>
                <w:sz w:val="16"/>
                <w:lang w:val="de-AT" w:eastAsia="de-AT"/>
              </w:rPr>
              <w:t>sample survey</w:t>
            </w:r>
          </w:p>
        </w:tc>
        <w:tc>
          <w:tcPr>
            <w:tcW w:w="120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70576CE" w14:textId="6EE2BC99" w:rsidR="000D34F7" w:rsidRPr="00676813" w:rsidRDefault="000D34F7" w:rsidP="00EA5ABF">
            <w:pPr>
              <w:spacing w:after="0" w:line="240" w:lineRule="auto"/>
              <w:jc w:val="center"/>
              <w:rPr>
                <w:rFonts w:eastAsia="Times New Roman" w:cs="Arial"/>
                <w:color w:val="000000"/>
                <w:sz w:val="16"/>
                <w:lang w:val="de-AT" w:eastAsia="de-AT"/>
              </w:rPr>
            </w:pPr>
            <w:r w:rsidRPr="00676813">
              <w:rPr>
                <w:rFonts w:eastAsia="Times New Roman" w:cs="Arial"/>
                <w:color w:val="000000"/>
                <w:sz w:val="16"/>
                <w:lang w:val="de-AT" w:eastAsia="de-AT"/>
              </w:rPr>
              <w:t>suppliers/traders</w:t>
            </w:r>
            <w:r>
              <w:rPr>
                <w:rFonts w:eastAsia="Times New Roman" w:cs="Arial"/>
                <w:color w:val="000000"/>
                <w:sz w:val="16"/>
                <w:lang w:val="de-AT" w:eastAsia="de-AT"/>
              </w:rPr>
              <w:t xml:space="preserve"> or consumers</w:t>
            </w:r>
          </w:p>
        </w:tc>
        <w:tc>
          <w:tcPr>
            <w:tcW w:w="1374" w:type="pct"/>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14:paraId="57ABB1A6" w14:textId="77777777" w:rsidR="000D34F7" w:rsidRPr="00676813" w:rsidRDefault="000D34F7" w:rsidP="00EA5ABF">
            <w:pPr>
              <w:spacing w:after="0" w:line="240" w:lineRule="auto"/>
              <w:jc w:val="center"/>
              <w:rPr>
                <w:rFonts w:eastAsia="Times New Roman" w:cs="Arial"/>
                <w:color w:val="000000"/>
                <w:sz w:val="16"/>
                <w:lang w:val="de-AT" w:eastAsia="de-AT"/>
              </w:rPr>
            </w:pPr>
            <w:r w:rsidRPr="00676813">
              <w:rPr>
                <w:rFonts w:eastAsia="Times New Roman" w:cs="Arial"/>
                <w:color w:val="000000"/>
                <w:sz w:val="16"/>
                <w:lang w:val="de-AT" w:eastAsia="de-AT"/>
              </w:rPr>
              <w:t>expenditures/costs</w:t>
            </w:r>
            <w:r>
              <w:rPr>
                <w:rFonts w:eastAsia="Times New Roman" w:cs="Arial"/>
                <w:color w:val="000000"/>
                <w:sz w:val="16"/>
                <w:lang w:val="de-AT" w:eastAsia="de-AT"/>
              </w:rPr>
              <w:t>/taxes</w:t>
            </w:r>
          </w:p>
        </w:tc>
      </w:tr>
      <w:tr w:rsidR="000D34F7" w:rsidRPr="00676813" w14:paraId="625CD705" w14:textId="77777777" w:rsidTr="00C42839">
        <w:trPr>
          <w:trHeight w:val="300"/>
          <w:jc w:val="center"/>
        </w:trPr>
        <w:tc>
          <w:tcPr>
            <w:tcW w:w="1217" w:type="pct"/>
            <w:vMerge/>
            <w:tcBorders>
              <w:left w:val="single" w:sz="8" w:space="0" w:color="auto"/>
              <w:bottom w:val="single" w:sz="4" w:space="0" w:color="auto"/>
              <w:right w:val="single" w:sz="4" w:space="0" w:color="auto"/>
            </w:tcBorders>
            <w:shd w:val="clear" w:color="auto" w:fill="auto"/>
            <w:vAlign w:val="center"/>
          </w:tcPr>
          <w:p w14:paraId="38E37C58" w14:textId="77777777" w:rsidR="000D34F7" w:rsidRPr="00676813" w:rsidRDefault="000D34F7" w:rsidP="00EA5ABF">
            <w:pPr>
              <w:spacing w:after="0" w:line="240" w:lineRule="auto"/>
              <w:jc w:val="center"/>
              <w:rPr>
                <w:rFonts w:eastAsia="Times New Roman" w:cs="Arial"/>
                <w:b/>
                <w:color w:val="000000"/>
                <w:sz w:val="16"/>
                <w:lang w:val="de-AT" w:eastAsia="de-AT"/>
              </w:rPr>
            </w:pPr>
          </w:p>
        </w:tc>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261E0E" w14:textId="77777777" w:rsidR="000D34F7" w:rsidRPr="00676813" w:rsidRDefault="000D34F7" w:rsidP="00EA5ABF">
            <w:pPr>
              <w:spacing w:after="0" w:line="240" w:lineRule="auto"/>
              <w:jc w:val="center"/>
              <w:rPr>
                <w:rFonts w:eastAsia="Times New Roman" w:cs="Arial"/>
                <w:color w:val="000000"/>
                <w:sz w:val="16"/>
                <w:lang w:val="de-AT" w:eastAsia="de-AT"/>
              </w:rPr>
            </w:pPr>
            <w:r w:rsidRPr="00676813">
              <w:rPr>
                <w:rFonts w:eastAsia="Times New Roman" w:cs="Arial"/>
                <w:color w:val="000000"/>
                <w:sz w:val="16"/>
                <w:lang w:val="de-AT" w:eastAsia="de-AT"/>
              </w:rPr>
              <w:t>modelling</w:t>
            </w:r>
          </w:p>
        </w:tc>
        <w:tc>
          <w:tcPr>
            <w:tcW w:w="1209"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735BA9A4" w14:textId="77777777" w:rsidR="000D34F7" w:rsidRPr="00676813" w:rsidRDefault="000D34F7" w:rsidP="00EA5ABF">
            <w:pPr>
              <w:spacing w:after="0" w:line="240" w:lineRule="auto"/>
              <w:jc w:val="center"/>
              <w:rPr>
                <w:rFonts w:eastAsia="Times New Roman" w:cs="Arial"/>
                <w:color w:val="000000"/>
                <w:sz w:val="16"/>
                <w:lang w:val="de-AT" w:eastAsia="de-AT"/>
              </w:rPr>
            </w:pPr>
          </w:p>
        </w:tc>
        <w:tc>
          <w:tcPr>
            <w:tcW w:w="1374" w:type="pct"/>
            <w:vMerge/>
            <w:tcBorders>
              <w:left w:val="nil"/>
              <w:bottom w:val="single" w:sz="4" w:space="0" w:color="auto"/>
              <w:right w:val="single" w:sz="4" w:space="0" w:color="auto"/>
            </w:tcBorders>
            <w:shd w:val="clear" w:color="auto" w:fill="auto"/>
            <w:vAlign w:val="center"/>
          </w:tcPr>
          <w:p w14:paraId="1E87FF60" w14:textId="77777777" w:rsidR="000D34F7" w:rsidRPr="00676813" w:rsidRDefault="000D34F7" w:rsidP="00EA5ABF">
            <w:pPr>
              <w:spacing w:after="0" w:line="240" w:lineRule="auto"/>
              <w:jc w:val="center"/>
              <w:rPr>
                <w:rFonts w:eastAsia="Times New Roman" w:cs="Arial"/>
                <w:color w:val="000000"/>
                <w:sz w:val="16"/>
                <w:lang w:eastAsia="de-AT"/>
              </w:rPr>
            </w:pPr>
          </w:p>
        </w:tc>
      </w:tr>
    </w:tbl>
    <w:p w14:paraId="60D144C5" w14:textId="77777777" w:rsidR="000E1C02" w:rsidRDefault="000E1C02" w:rsidP="00551958">
      <w:pPr>
        <w:jc w:val="both"/>
        <w:rPr>
          <w:sz w:val="16"/>
        </w:rPr>
      </w:pPr>
    </w:p>
    <w:p w14:paraId="574821B7" w14:textId="77777777" w:rsidR="00C252B0" w:rsidRDefault="00C252B0" w:rsidP="00551958">
      <w:pPr>
        <w:jc w:val="both"/>
        <w:rPr>
          <w:sz w:val="16"/>
        </w:rPr>
      </w:pPr>
    </w:p>
    <w:p w14:paraId="054255C1" w14:textId="77777777" w:rsidR="00551958" w:rsidRPr="00676813" w:rsidRDefault="00551958" w:rsidP="001A22EF">
      <w:pPr>
        <w:pStyle w:val="Heading1"/>
        <w:numPr>
          <w:ilvl w:val="0"/>
          <w:numId w:val="23"/>
        </w:numPr>
      </w:pPr>
      <w:r w:rsidRPr="00676813">
        <w:lastRenderedPageBreak/>
        <w:t xml:space="preserve">Administrative </w:t>
      </w:r>
      <w:r w:rsidR="00243F20" w:rsidRPr="00676813">
        <w:t xml:space="preserve">data </w:t>
      </w:r>
      <w:r w:rsidRPr="00676813">
        <w:t>sources</w:t>
      </w:r>
      <w:r w:rsidR="00984EC1" w:rsidRPr="00676813">
        <w:rPr>
          <w:rStyle w:val="FootnoteReference"/>
        </w:rPr>
        <w:footnoteReference w:id="6"/>
      </w:r>
    </w:p>
    <w:p w14:paraId="5CE092A5" w14:textId="67308469" w:rsidR="00830F24" w:rsidRPr="00676813" w:rsidRDefault="00830F24" w:rsidP="00557E06">
      <w:pPr>
        <w:jc w:val="both"/>
      </w:pPr>
      <w:r w:rsidRPr="00676813">
        <w:t xml:space="preserve">Administrative data means all data sets publicly or privately owned that are collected for </w:t>
      </w:r>
      <w:r w:rsidR="00243F20" w:rsidRPr="00676813">
        <w:t>non-statistical</w:t>
      </w:r>
      <w:r w:rsidRPr="00676813">
        <w:t xml:space="preserve"> purposes. </w:t>
      </w:r>
      <w:r w:rsidR="00622C92">
        <w:t>Examples of administrative data</w:t>
      </w:r>
      <w:r w:rsidR="00243F20" w:rsidRPr="00676813">
        <w:t xml:space="preserve"> are </w:t>
      </w:r>
      <w:r w:rsidR="001D5DC4">
        <w:t xml:space="preserve">public </w:t>
      </w:r>
      <w:r w:rsidR="00243F20" w:rsidRPr="00676813">
        <w:t xml:space="preserve">registers </w:t>
      </w:r>
      <w:r w:rsidR="001D5DC4">
        <w:t>such as</w:t>
      </w:r>
      <w:r w:rsidR="001D5DC4" w:rsidRPr="00676813">
        <w:t xml:space="preserve"> </w:t>
      </w:r>
      <w:r w:rsidR="00243F20" w:rsidRPr="00676813">
        <w:t>population or building registers</w:t>
      </w:r>
      <w:r w:rsidR="001D5DC4">
        <w:t>,</w:t>
      </w:r>
      <w:r w:rsidR="00243F20" w:rsidRPr="00676813">
        <w:t xml:space="preserve"> or</w:t>
      </w:r>
      <w:r w:rsidR="00D06D12">
        <w:t xml:space="preserve"> private registers such as</w:t>
      </w:r>
      <w:r w:rsidR="00243F20" w:rsidRPr="00676813">
        <w:t xml:space="preserve"> billing registers of electricity </w:t>
      </w:r>
      <w:r w:rsidR="00D61AF4" w:rsidRPr="00676813">
        <w:t>supply companies.</w:t>
      </w:r>
    </w:p>
    <w:p w14:paraId="34FBAE15" w14:textId="0519423A" w:rsidR="00551958" w:rsidRPr="00676813" w:rsidRDefault="00D61AF4" w:rsidP="00DF0BA7">
      <w:pPr>
        <w:jc w:val="both"/>
      </w:pPr>
      <w:r w:rsidRPr="00676813">
        <w:t>In many countries the legal background allow</w:t>
      </w:r>
      <w:r w:rsidR="004F16DA">
        <w:t>s</w:t>
      </w:r>
      <w:r w:rsidRPr="00676813">
        <w:t xml:space="preserve"> the </w:t>
      </w:r>
      <w:r w:rsidR="00D017DE">
        <w:t>i</w:t>
      </w:r>
      <w:r w:rsidRPr="00676813">
        <w:t xml:space="preserve">nstitutions in charge with statistics to use such registers and </w:t>
      </w:r>
      <w:r w:rsidR="004F11A5">
        <w:t xml:space="preserve">apply </w:t>
      </w:r>
      <w:r w:rsidRPr="00676813">
        <w:t>legal force to obtain the data</w:t>
      </w:r>
      <w:r w:rsidR="004F11A5">
        <w:t>,</w:t>
      </w:r>
      <w:r w:rsidRPr="00676813">
        <w:t xml:space="preserve"> at least from public registers.</w:t>
      </w:r>
      <w:r w:rsidR="00FC71D7">
        <w:t xml:space="preserve"> </w:t>
      </w:r>
      <w:r w:rsidR="00DF0BA7">
        <w:t>If legislation enables the use of a</w:t>
      </w:r>
      <w:r w:rsidR="00FC71D7">
        <w:t>dministrative data</w:t>
      </w:r>
      <w:r w:rsidR="00DF0BA7">
        <w:t xml:space="preserve">, it can be a first choice data source for the following </w:t>
      </w:r>
      <w:r w:rsidRPr="00676813">
        <w:t>reasons</w:t>
      </w:r>
      <w:r w:rsidR="00551958" w:rsidRPr="00676813">
        <w:t>:</w:t>
      </w:r>
    </w:p>
    <w:p w14:paraId="3652376B" w14:textId="350E65AA" w:rsidR="00551958" w:rsidRPr="00676813" w:rsidRDefault="00551958" w:rsidP="00551958">
      <w:pPr>
        <w:pStyle w:val="ListParagraph"/>
        <w:numPr>
          <w:ilvl w:val="0"/>
          <w:numId w:val="3"/>
        </w:numPr>
      </w:pPr>
      <w:r w:rsidRPr="00676813">
        <w:t xml:space="preserve">Data are already available and will be available in </w:t>
      </w:r>
      <w:r w:rsidR="004F16DA">
        <w:t xml:space="preserve">the </w:t>
      </w:r>
      <w:r w:rsidRPr="00676813">
        <w:t>future</w:t>
      </w:r>
    </w:p>
    <w:p w14:paraId="0B24CAE8" w14:textId="72C4E232" w:rsidR="00551958" w:rsidRPr="00676813" w:rsidRDefault="00551958" w:rsidP="00551958">
      <w:pPr>
        <w:pStyle w:val="ListParagraph"/>
        <w:numPr>
          <w:ilvl w:val="0"/>
          <w:numId w:val="3"/>
        </w:numPr>
      </w:pPr>
      <w:r w:rsidRPr="00676813">
        <w:t xml:space="preserve">No additional resources for data collection </w:t>
      </w:r>
      <w:r w:rsidR="00207DC0">
        <w:t xml:space="preserve">are </w:t>
      </w:r>
      <w:r w:rsidRPr="00676813">
        <w:t>needed</w:t>
      </w:r>
    </w:p>
    <w:p w14:paraId="1D88E141" w14:textId="045F0640" w:rsidR="00551958" w:rsidRPr="00676813" w:rsidRDefault="00551958" w:rsidP="00551958">
      <w:pPr>
        <w:pStyle w:val="ListParagraph"/>
        <w:numPr>
          <w:ilvl w:val="0"/>
          <w:numId w:val="3"/>
        </w:numPr>
      </w:pPr>
      <w:r w:rsidRPr="00676813">
        <w:t>No additional burden</w:t>
      </w:r>
      <w:r w:rsidR="0048003A">
        <w:t xml:space="preserve"> for </w:t>
      </w:r>
      <w:r w:rsidR="0048003A" w:rsidRPr="00676813">
        <w:t>respondents</w:t>
      </w:r>
    </w:p>
    <w:p w14:paraId="27362C38" w14:textId="50083799" w:rsidR="00551958" w:rsidRPr="00676813" w:rsidRDefault="00551958" w:rsidP="00551958">
      <w:r w:rsidRPr="00676813">
        <w:t>On the other hand</w:t>
      </w:r>
      <w:r w:rsidR="00BB2C95">
        <w:t>,</w:t>
      </w:r>
      <w:r w:rsidRPr="00676813">
        <w:t xml:space="preserve"> there are some restrictions </w:t>
      </w:r>
      <w:r w:rsidR="00BB2C95">
        <w:t>which should be noted</w:t>
      </w:r>
      <w:r w:rsidR="00D61AF4" w:rsidRPr="00676813">
        <w:t>:</w:t>
      </w:r>
    </w:p>
    <w:p w14:paraId="644B1D42" w14:textId="363320BA" w:rsidR="00F249AF" w:rsidRPr="00676813" w:rsidRDefault="000C67B5" w:rsidP="000C67B5">
      <w:pPr>
        <w:pStyle w:val="ListParagraph"/>
        <w:numPr>
          <w:ilvl w:val="0"/>
          <w:numId w:val="4"/>
        </w:numPr>
      </w:pPr>
      <w:r w:rsidRPr="00676813">
        <w:t xml:space="preserve">The definitions used in the register normally do not match the definitions </w:t>
      </w:r>
      <w:r w:rsidR="00C11982">
        <w:t>used in energy statistics</w:t>
      </w:r>
    </w:p>
    <w:p w14:paraId="30AE60AB" w14:textId="77777777" w:rsidR="000C67B5" w:rsidRPr="00676813" w:rsidRDefault="000C67B5" w:rsidP="000C67B5">
      <w:pPr>
        <w:pStyle w:val="ListParagraph"/>
        <w:numPr>
          <w:ilvl w:val="0"/>
          <w:numId w:val="4"/>
        </w:numPr>
      </w:pPr>
      <w:r w:rsidRPr="00676813">
        <w:t>Periodicity may be different from that needed</w:t>
      </w:r>
    </w:p>
    <w:p w14:paraId="2CBF44FB" w14:textId="77777777" w:rsidR="000C67B5" w:rsidRPr="00676813" w:rsidRDefault="000C67B5" w:rsidP="000C67B5">
      <w:pPr>
        <w:pStyle w:val="ListParagraph"/>
        <w:numPr>
          <w:ilvl w:val="0"/>
          <w:numId w:val="4"/>
        </w:numPr>
      </w:pPr>
      <w:r w:rsidRPr="00676813">
        <w:t>Missing metadata</w:t>
      </w:r>
    </w:p>
    <w:p w14:paraId="40C62840" w14:textId="77777777" w:rsidR="00734BBE" w:rsidRPr="00676813" w:rsidRDefault="00734BBE" w:rsidP="00984EC1">
      <w:pPr>
        <w:jc w:val="both"/>
      </w:pPr>
      <w:r w:rsidRPr="00676813">
        <w:t>There are many potential sources of data that can be used, if not for producing statistics then at least for providing error-checking information, or for matching with other variables in order to make certain breakdowns. This could include administrative sources such as:</w:t>
      </w:r>
    </w:p>
    <w:p w14:paraId="0D02FBA4" w14:textId="77777777" w:rsidR="00734BBE" w:rsidRPr="00676813" w:rsidRDefault="00734BBE" w:rsidP="001A22EF">
      <w:pPr>
        <w:pStyle w:val="ListParagraph"/>
        <w:numPr>
          <w:ilvl w:val="0"/>
          <w:numId w:val="18"/>
        </w:numPr>
        <w:spacing w:after="113" w:line="236" w:lineRule="atLeast"/>
        <w:contextualSpacing w:val="0"/>
        <w:jc w:val="both"/>
        <w:rPr>
          <w:rFonts w:cs="Times"/>
          <w:szCs w:val="20"/>
        </w:rPr>
      </w:pPr>
      <w:r w:rsidRPr="00676813">
        <w:rPr>
          <w:rFonts w:cs="Times"/>
          <w:szCs w:val="20"/>
        </w:rPr>
        <w:t>Buildings register or cadastral register (may contain information on location, age, type of dwelling, and heating system)</w:t>
      </w:r>
    </w:p>
    <w:p w14:paraId="467C74A1" w14:textId="4190B58F" w:rsidR="00734BBE" w:rsidRPr="00676813" w:rsidRDefault="00734BBE" w:rsidP="001A22EF">
      <w:pPr>
        <w:pStyle w:val="ListParagraph"/>
        <w:numPr>
          <w:ilvl w:val="0"/>
          <w:numId w:val="18"/>
        </w:numPr>
        <w:spacing w:after="113" w:line="236" w:lineRule="atLeast"/>
        <w:contextualSpacing w:val="0"/>
        <w:jc w:val="both"/>
        <w:rPr>
          <w:rFonts w:cs="Times"/>
          <w:szCs w:val="20"/>
        </w:rPr>
      </w:pPr>
      <w:r w:rsidRPr="00676813">
        <w:rPr>
          <w:rFonts w:cs="Times"/>
          <w:szCs w:val="20"/>
        </w:rPr>
        <w:t>Renewable energy subsidy/grant register (often has information on the installed capacity and number of renewable energy installations in a given year</w:t>
      </w:r>
      <w:r w:rsidR="004B736A">
        <w:rPr>
          <w:rFonts w:cs="Times"/>
          <w:szCs w:val="20"/>
        </w:rPr>
        <w:t>)</w:t>
      </w:r>
      <w:r w:rsidRPr="00676813">
        <w:rPr>
          <w:rFonts w:cs="Times"/>
          <w:szCs w:val="20"/>
        </w:rPr>
        <w:t xml:space="preserve"> </w:t>
      </w:r>
    </w:p>
    <w:p w14:paraId="2F932B37" w14:textId="68F1F8D8" w:rsidR="00734BBE" w:rsidRPr="00676813" w:rsidRDefault="004B736A" w:rsidP="001A22EF">
      <w:pPr>
        <w:pStyle w:val="ListParagraph"/>
        <w:numPr>
          <w:ilvl w:val="0"/>
          <w:numId w:val="18"/>
        </w:numPr>
        <w:spacing w:after="113" w:line="236" w:lineRule="atLeast"/>
        <w:contextualSpacing w:val="0"/>
        <w:jc w:val="both"/>
        <w:rPr>
          <w:rFonts w:cs="Times"/>
          <w:szCs w:val="20"/>
        </w:rPr>
      </w:pPr>
      <w:r>
        <w:rPr>
          <w:rFonts w:cs="Times"/>
          <w:szCs w:val="20"/>
        </w:rPr>
        <w:t xml:space="preserve">Database on </w:t>
      </w:r>
      <w:r w:rsidR="00734BBE" w:rsidRPr="00676813">
        <w:rPr>
          <w:rFonts w:cs="Times"/>
          <w:szCs w:val="20"/>
        </w:rPr>
        <w:t xml:space="preserve">Energy Performance of Buildings (may contain detailed information on heating equipment, insulation, and other energy efficiency characteristics) </w:t>
      </w:r>
      <w:r w:rsidR="00343DEB">
        <w:rPr>
          <w:rFonts w:cs="Times"/>
          <w:szCs w:val="20"/>
        </w:rPr>
        <w:t xml:space="preserve">such as the one </w:t>
      </w:r>
      <w:r w:rsidR="00734BBE" w:rsidRPr="00676813">
        <w:rPr>
          <w:rFonts w:cs="Times"/>
          <w:szCs w:val="20"/>
        </w:rPr>
        <w:t>set up for EU Directive 2002/91/EC of buildings</w:t>
      </w:r>
    </w:p>
    <w:p w14:paraId="3BEDB7F2" w14:textId="77777777" w:rsidR="00734BBE" w:rsidRPr="00676813" w:rsidRDefault="00734BBE" w:rsidP="001A22EF">
      <w:pPr>
        <w:pStyle w:val="ListParagraph"/>
        <w:numPr>
          <w:ilvl w:val="0"/>
          <w:numId w:val="18"/>
        </w:numPr>
        <w:spacing w:after="113" w:line="236" w:lineRule="atLeast"/>
        <w:contextualSpacing w:val="0"/>
        <w:jc w:val="both"/>
        <w:rPr>
          <w:rFonts w:cs="Times"/>
          <w:szCs w:val="20"/>
        </w:rPr>
      </w:pPr>
      <w:r w:rsidRPr="00676813">
        <w:rPr>
          <w:rFonts w:cs="Times"/>
          <w:szCs w:val="20"/>
        </w:rPr>
        <w:t>Sales records of vendors or manufacturers of appliances or heating equipment</w:t>
      </w:r>
    </w:p>
    <w:p w14:paraId="29B68606" w14:textId="547AFB85" w:rsidR="00734BBE" w:rsidRPr="00676813" w:rsidRDefault="00734BBE" w:rsidP="001A22EF">
      <w:pPr>
        <w:pStyle w:val="ListParagraph"/>
        <w:numPr>
          <w:ilvl w:val="0"/>
          <w:numId w:val="18"/>
        </w:numPr>
        <w:spacing w:after="113" w:line="236" w:lineRule="atLeast"/>
        <w:contextualSpacing w:val="0"/>
        <w:jc w:val="both"/>
        <w:rPr>
          <w:rFonts w:cs="Times"/>
          <w:szCs w:val="20"/>
        </w:rPr>
      </w:pPr>
      <w:r w:rsidRPr="00676813">
        <w:rPr>
          <w:rFonts w:cs="Times"/>
          <w:szCs w:val="20"/>
        </w:rPr>
        <w:t xml:space="preserve">Records </w:t>
      </w:r>
      <w:r w:rsidR="00F1320F">
        <w:rPr>
          <w:rFonts w:cs="Times"/>
          <w:szCs w:val="20"/>
        </w:rPr>
        <w:t xml:space="preserve">of insulation installed </w:t>
      </w:r>
      <w:r w:rsidRPr="00676813">
        <w:rPr>
          <w:rFonts w:cs="Times"/>
          <w:szCs w:val="20"/>
        </w:rPr>
        <w:t xml:space="preserve">from insulation fitters </w:t>
      </w:r>
      <w:r w:rsidR="009E7291">
        <w:rPr>
          <w:rFonts w:cs="Times"/>
          <w:szCs w:val="20"/>
        </w:rPr>
        <w:t>for</w:t>
      </w:r>
      <w:r w:rsidR="00EE7521">
        <w:rPr>
          <w:rFonts w:cs="Times"/>
          <w:szCs w:val="20"/>
        </w:rPr>
        <w:t xml:space="preserve"> </w:t>
      </w:r>
      <w:r w:rsidRPr="00676813">
        <w:rPr>
          <w:rFonts w:cs="Times"/>
          <w:szCs w:val="20"/>
        </w:rPr>
        <w:t xml:space="preserve">homes </w:t>
      </w:r>
    </w:p>
    <w:p w14:paraId="5A40561E" w14:textId="3B91A849" w:rsidR="00734BBE" w:rsidRPr="00676813" w:rsidRDefault="00734BBE" w:rsidP="001A22EF">
      <w:pPr>
        <w:pStyle w:val="ListParagraph"/>
        <w:numPr>
          <w:ilvl w:val="0"/>
          <w:numId w:val="18"/>
        </w:numPr>
        <w:spacing w:after="113" w:line="236" w:lineRule="atLeast"/>
        <w:contextualSpacing w:val="0"/>
        <w:jc w:val="both"/>
        <w:rPr>
          <w:rFonts w:cs="Times"/>
          <w:szCs w:val="20"/>
        </w:rPr>
      </w:pPr>
      <w:r w:rsidRPr="00676813">
        <w:rPr>
          <w:rFonts w:cs="Times"/>
          <w:szCs w:val="20"/>
        </w:rPr>
        <w:t>Records of chimney</w:t>
      </w:r>
      <w:r w:rsidR="00635D3F">
        <w:rPr>
          <w:rFonts w:cs="Times"/>
          <w:szCs w:val="20"/>
        </w:rPr>
        <w:t>s</w:t>
      </w:r>
      <w:r w:rsidRPr="00676813">
        <w:rPr>
          <w:rFonts w:cs="Times"/>
          <w:szCs w:val="20"/>
        </w:rPr>
        <w:t xml:space="preserve"> </w:t>
      </w:r>
      <w:r w:rsidR="00635D3F">
        <w:rPr>
          <w:rFonts w:cs="Times"/>
          <w:szCs w:val="20"/>
        </w:rPr>
        <w:t>swept</w:t>
      </w:r>
    </w:p>
    <w:p w14:paraId="713490BE" w14:textId="77777777" w:rsidR="00734BBE" w:rsidRPr="00676813" w:rsidRDefault="00734BBE" w:rsidP="001A22EF">
      <w:pPr>
        <w:pStyle w:val="ListParagraph"/>
        <w:numPr>
          <w:ilvl w:val="0"/>
          <w:numId w:val="18"/>
        </w:numPr>
        <w:spacing w:after="113" w:line="236" w:lineRule="atLeast"/>
        <w:contextualSpacing w:val="0"/>
        <w:jc w:val="both"/>
        <w:rPr>
          <w:rFonts w:cs="Times"/>
          <w:szCs w:val="20"/>
        </w:rPr>
      </w:pPr>
      <w:r w:rsidRPr="00676813">
        <w:rPr>
          <w:rFonts w:cs="Times"/>
          <w:szCs w:val="20"/>
        </w:rPr>
        <w:t>Sales records of central heating and heat pump vendors or manufacturers</w:t>
      </w:r>
    </w:p>
    <w:p w14:paraId="08A1ACAF" w14:textId="77777777" w:rsidR="00734BBE" w:rsidRPr="00676813" w:rsidRDefault="00734BBE" w:rsidP="001A22EF">
      <w:pPr>
        <w:pStyle w:val="ListParagraph"/>
        <w:numPr>
          <w:ilvl w:val="0"/>
          <w:numId w:val="18"/>
        </w:numPr>
        <w:spacing w:after="113" w:line="236" w:lineRule="atLeast"/>
        <w:contextualSpacing w:val="0"/>
        <w:jc w:val="both"/>
        <w:rPr>
          <w:rFonts w:cs="Times"/>
          <w:szCs w:val="20"/>
        </w:rPr>
      </w:pPr>
      <w:r w:rsidRPr="00676813">
        <w:rPr>
          <w:rFonts w:cs="Times"/>
          <w:szCs w:val="20"/>
        </w:rPr>
        <w:t>Registry of premiums paid for scrapping/recycling of appliances</w:t>
      </w:r>
    </w:p>
    <w:p w14:paraId="3D6A592A" w14:textId="77777777" w:rsidR="00734BBE" w:rsidRPr="00676813" w:rsidRDefault="00734BBE" w:rsidP="001A22EF">
      <w:pPr>
        <w:pStyle w:val="ListParagraph"/>
        <w:numPr>
          <w:ilvl w:val="0"/>
          <w:numId w:val="18"/>
        </w:numPr>
        <w:spacing w:after="113" w:line="236" w:lineRule="atLeast"/>
        <w:contextualSpacing w:val="0"/>
        <w:jc w:val="both"/>
        <w:rPr>
          <w:rFonts w:cs="Times"/>
          <w:szCs w:val="20"/>
        </w:rPr>
      </w:pPr>
      <w:r w:rsidRPr="00676813">
        <w:rPr>
          <w:rFonts w:cs="Times"/>
          <w:szCs w:val="20"/>
        </w:rPr>
        <w:t xml:space="preserve">Address register </w:t>
      </w:r>
    </w:p>
    <w:p w14:paraId="33EB84D0" w14:textId="77777777" w:rsidR="00734BBE" w:rsidRPr="00676813" w:rsidRDefault="00734BBE" w:rsidP="001A22EF">
      <w:pPr>
        <w:pStyle w:val="ListParagraph"/>
        <w:numPr>
          <w:ilvl w:val="0"/>
          <w:numId w:val="18"/>
        </w:numPr>
        <w:spacing w:after="113" w:line="236" w:lineRule="atLeast"/>
        <w:contextualSpacing w:val="0"/>
        <w:jc w:val="both"/>
        <w:rPr>
          <w:rFonts w:cs="Times"/>
          <w:szCs w:val="20"/>
        </w:rPr>
      </w:pPr>
      <w:r w:rsidRPr="00676813">
        <w:rPr>
          <w:rFonts w:cs="Times"/>
          <w:szCs w:val="20"/>
        </w:rPr>
        <w:t>Population register</w:t>
      </w:r>
    </w:p>
    <w:p w14:paraId="6D52F042" w14:textId="77777777" w:rsidR="00734BBE" w:rsidRPr="00676813" w:rsidRDefault="00734BBE" w:rsidP="001A22EF">
      <w:pPr>
        <w:pStyle w:val="ListParagraph"/>
        <w:numPr>
          <w:ilvl w:val="0"/>
          <w:numId w:val="18"/>
        </w:numPr>
        <w:spacing w:after="113" w:line="236" w:lineRule="atLeast"/>
        <w:contextualSpacing w:val="0"/>
        <w:jc w:val="both"/>
        <w:rPr>
          <w:rFonts w:cs="Times"/>
          <w:szCs w:val="20"/>
        </w:rPr>
      </w:pPr>
      <w:r w:rsidRPr="00676813">
        <w:rPr>
          <w:rFonts w:cs="Times"/>
          <w:szCs w:val="20"/>
        </w:rPr>
        <w:t>Business register</w:t>
      </w:r>
    </w:p>
    <w:p w14:paraId="21D805DF" w14:textId="77777777" w:rsidR="00734BBE" w:rsidRPr="00676813" w:rsidRDefault="00734BBE" w:rsidP="001A22EF">
      <w:pPr>
        <w:pStyle w:val="ListParagraph"/>
        <w:numPr>
          <w:ilvl w:val="0"/>
          <w:numId w:val="18"/>
        </w:numPr>
        <w:spacing w:after="113" w:line="236" w:lineRule="atLeast"/>
        <w:contextualSpacing w:val="0"/>
        <w:jc w:val="both"/>
        <w:rPr>
          <w:rFonts w:cs="Times"/>
          <w:szCs w:val="20"/>
        </w:rPr>
      </w:pPr>
      <w:r w:rsidRPr="00676813">
        <w:rPr>
          <w:rFonts w:cs="Times"/>
          <w:szCs w:val="20"/>
        </w:rPr>
        <w:t xml:space="preserve">Taxation register </w:t>
      </w:r>
    </w:p>
    <w:p w14:paraId="7765F315" w14:textId="77777777" w:rsidR="00734BBE" w:rsidRPr="00676813" w:rsidRDefault="00734BBE" w:rsidP="00984EC1">
      <w:pPr>
        <w:jc w:val="both"/>
      </w:pPr>
      <w:r w:rsidRPr="00676813">
        <w:t>The energy-related variables that at the time of writing are collected from administrative sources in EU countries include:</w:t>
      </w:r>
    </w:p>
    <w:p w14:paraId="1D2B59E0" w14:textId="77777777" w:rsidR="00734BBE" w:rsidRPr="00676813" w:rsidRDefault="00734BBE" w:rsidP="001A22EF">
      <w:pPr>
        <w:pStyle w:val="ListParagraph"/>
        <w:numPr>
          <w:ilvl w:val="0"/>
          <w:numId w:val="17"/>
        </w:numPr>
        <w:spacing w:after="113" w:line="236" w:lineRule="atLeast"/>
        <w:contextualSpacing w:val="0"/>
        <w:jc w:val="both"/>
        <w:rPr>
          <w:rFonts w:cs="Times"/>
          <w:szCs w:val="20"/>
        </w:rPr>
      </w:pPr>
      <w:r w:rsidRPr="00676813">
        <w:rPr>
          <w:rFonts w:cs="Times"/>
          <w:szCs w:val="20"/>
        </w:rPr>
        <w:t>Annualised consumption of gas and electricity at household level</w:t>
      </w:r>
    </w:p>
    <w:p w14:paraId="2323B9EC" w14:textId="77777777" w:rsidR="00734BBE" w:rsidRPr="00676813" w:rsidRDefault="00734BBE" w:rsidP="001A22EF">
      <w:pPr>
        <w:pStyle w:val="ListParagraph"/>
        <w:numPr>
          <w:ilvl w:val="0"/>
          <w:numId w:val="17"/>
        </w:numPr>
        <w:spacing w:after="113" w:line="236" w:lineRule="atLeast"/>
        <w:contextualSpacing w:val="0"/>
        <w:jc w:val="both"/>
        <w:rPr>
          <w:rFonts w:cs="Times"/>
          <w:szCs w:val="20"/>
        </w:rPr>
      </w:pPr>
      <w:r w:rsidRPr="00676813">
        <w:rPr>
          <w:rFonts w:cs="Times"/>
          <w:szCs w:val="20"/>
        </w:rPr>
        <w:t>Various aspects of energy performance of buildings (insulation, heating equipment, etc.)</w:t>
      </w:r>
    </w:p>
    <w:p w14:paraId="2CA05A84" w14:textId="77777777" w:rsidR="00734BBE" w:rsidRPr="00676813" w:rsidRDefault="00734BBE" w:rsidP="001A22EF">
      <w:pPr>
        <w:pStyle w:val="ListParagraph"/>
        <w:numPr>
          <w:ilvl w:val="0"/>
          <w:numId w:val="17"/>
        </w:numPr>
        <w:spacing w:after="113" w:line="236" w:lineRule="atLeast"/>
        <w:contextualSpacing w:val="0"/>
        <w:jc w:val="both"/>
        <w:rPr>
          <w:rFonts w:cs="Times"/>
          <w:szCs w:val="20"/>
        </w:rPr>
      </w:pPr>
      <w:r w:rsidRPr="00676813">
        <w:rPr>
          <w:rFonts w:cs="Times"/>
          <w:szCs w:val="20"/>
        </w:rPr>
        <w:lastRenderedPageBreak/>
        <w:t>Housing stock characteristics (number of households, composition, dwelling types, etc.)</w:t>
      </w:r>
    </w:p>
    <w:p w14:paraId="722302DC" w14:textId="0021D96C" w:rsidR="00E412FD" w:rsidRDefault="007B7E63" w:rsidP="007B7E63">
      <w:pPr>
        <w:jc w:val="both"/>
      </w:pPr>
      <w:r w:rsidRPr="00676813">
        <w:t xml:space="preserve">The use of administrative data sources often is combined with modelling, to adopt the information obtained from them to the format, reference period etc. needed. </w:t>
      </w:r>
    </w:p>
    <w:p w14:paraId="1DEE96DD" w14:textId="09298C97" w:rsidR="008B7064" w:rsidRDefault="008B7064" w:rsidP="007B7E63">
      <w:pPr>
        <w:jc w:val="both"/>
      </w:pPr>
      <w:r>
        <w:rPr>
          <w:noProof/>
          <w:lang w:eastAsia="en-GB"/>
        </w:rPr>
        <mc:AlternateContent>
          <mc:Choice Requires="wps">
            <w:drawing>
              <wp:anchor distT="0" distB="0" distL="114300" distR="114300" simplePos="0" relativeHeight="251659264" behindDoc="0" locked="0" layoutInCell="1" allowOverlap="1" wp14:anchorId="1A034264" wp14:editId="695F29D8">
                <wp:simplePos x="0" y="0"/>
                <wp:positionH relativeFrom="column">
                  <wp:posOffset>71755</wp:posOffset>
                </wp:positionH>
                <wp:positionV relativeFrom="paragraph">
                  <wp:posOffset>200660</wp:posOffset>
                </wp:positionV>
                <wp:extent cx="5559425" cy="5562600"/>
                <wp:effectExtent l="0" t="0" r="22225"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5562600"/>
                        </a:xfrm>
                        <a:prstGeom prst="rect">
                          <a:avLst/>
                        </a:prstGeom>
                        <a:solidFill>
                          <a:srgbClr val="FFFFFF"/>
                        </a:solidFill>
                        <a:ln w="9525">
                          <a:solidFill>
                            <a:srgbClr val="000000"/>
                          </a:solidFill>
                          <a:miter lim="800000"/>
                          <a:headEnd/>
                          <a:tailEnd/>
                        </a:ln>
                      </wps:spPr>
                      <wps:txbx>
                        <w:txbxContent>
                          <w:p w14:paraId="6060A887" w14:textId="77777777" w:rsidR="008B7064" w:rsidRPr="006A62F6" w:rsidRDefault="008B7064" w:rsidP="008B7064">
                            <w:pPr>
                              <w:jc w:val="both"/>
                              <w:rPr>
                                <w:b/>
                                <w:sz w:val="20"/>
                              </w:rPr>
                            </w:pPr>
                            <w:r w:rsidRPr="006A62F6">
                              <w:rPr>
                                <w:b/>
                                <w:sz w:val="20"/>
                              </w:rPr>
                              <w:t xml:space="preserve">Use of administrative data </w:t>
                            </w:r>
                            <w:r>
                              <w:rPr>
                                <w:b/>
                                <w:sz w:val="20"/>
                              </w:rPr>
                              <w:t>in Statistics Canada</w:t>
                            </w:r>
                          </w:p>
                          <w:p w14:paraId="772E1A68" w14:textId="77777777" w:rsidR="008B7064" w:rsidRPr="00B92133" w:rsidRDefault="008B7064" w:rsidP="008B7064">
                            <w:pPr>
                              <w:jc w:val="both"/>
                              <w:rPr>
                                <w:sz w:val="20"/>
                              </w:rPr>
                            </w:pPr>
                            <w:r w:rsidRPr="00B92133">
                              <w:rPr>
                                <w:sz w:val="20"/>
                              </w:rPr>
                              <w:t>Using administrative records presents a number of advantages to a statistical agency and to analysts. Administrative data, because they already exist, do not incur additional cost for data collection nor do they impose a further burden on respondents, provided the coverage and the conceptual framework of the administrative data are compatible with the target population or the collection of administrative data is not terminated.</w:t>
                            </w:r>
                          </w:p>
                          <w:p w14:paraId="3EB8000B" w14:textId="77777777" w:rsidR="008B7064" w:rsidRPr="00B92133" w:rsidRDefault="008B7064" w:rsidP="008B7064">
                            <w:pPr>
                              <w:jc w:val="both"/>
                              <w:rPr>
                                <w:sz w:val="20"/>
                              </w:rPr>
                            </w:pPr>
                            <w:r w:rsidRPr="00B92133">
                              <w:rPr>
                                <w:sz w:val="20"/>
                              </w:rPr>
                              <w:t>On the other hand, one must be careful in using administrative data as there are a number of limitations to be aware of including (</w:t>
                            </w:r>
                            <w:proofErr w:type="spellStart"/>
                            <w:r w:rsidRPr="00B92133">
                              <w:rPr>
                                <w:sz w:val="20"/>
                              </w:rPr>
                              <w:t>i</w:t>
                            </w:r>
                            <w:proofErr w:type="spellEnd"/>
                            <w:r w:rsidRPr="00B92133">
                              <w:rPr>
                                <w:sz w:val="20"/>
                              </w:rPr>
                              <w:t>) the level or the lack of quality control over the data, (ii) the possibility of having missing items or missing records (an incomplete file), (iii) the difference in concepts which might lead to bias problems, as well as coverage problems, (iv) the timeliness of the data (the collection of the data being out of the statistical agency’s control, it is possible that due to external events, part or all of the data might not be received on time), and (v) the cost that comes with administrative data: for instance, computer systems are needed to clean and complete the data in order to make it useful.</w:t>
                            </w:r>
                          </w:p>
                          <w:p w14:paraId="33E66E01" w14:textId="77777777" w:rsidR="008B7064" w:rsidRPr="00B92133" w:rsidRDefault="008B7064" w:rsidP="008B7064">
                            <w:pPr>
                              <w:jc w:val="both"/>
                              <w:rPr>
                                <w:sz w:val="20"/>
                              </w:rPr>
                            </w:pPr>
                            <w:r w:rsidRPr="00B92133">
                              <w:rPr>
                                <w:sz w:val="20"/>
                              </w:rPr>
                              <w:t>The use of administrative records may raise concerns about the privacy of the information when these are linked to other sources of data requiring agencies to provide all respondents with information on the confidentiality protection measures, the record linkage plans and the identity of the parties to any agreements to share the information provided by those respondents.</w:t>
                            </w:r>
                          </w:p>
                          <w:p w14:paraId="2A16E532" w14:textId="16AC1933" w:rsidR="008B7064" w:rsidRDefault="008B7064" w:rsidP="008B7064">
                            <w:pPr>
                              <w:rPr>
                                <w:sz w:val="20"/>
                              </w:rPr>
                            </w:pPr>
                            <w:r w:rsidRPr="00B92133">
                              <w:rPr>
                                <w:sz w:val="20"/>
                              </w:rPr>
                              <w:t>The use of administrative data may require the statistical agency to implement only a subset of the survey steps discussed in the other sections.</w:t>
                            </w:r>
                            <w:r w:rsidR="00EE7521">
                              <w:rPr>
                                <w:sz w:val="20"/>
                              </w:rPr>
                              <w:t xml:space="preserve"> </w:t>
                            </w:r>
                            <w:r w:rsidRPr="00B92133">
                              <w:rPr>
                                <w:sz w:val="20"/>
                              </w:rPr>
                              <w:t>Furthermore, any decisions related to the use of administrative data must be preceded by an assessmen</w:t>
                            </w:r>
                            <w:bookmarkStart w:id="0" w:name="_GoBack"/>
                            <w:bookmarkEnd w:id="0"/>
                            <w:r w:rsidRPr="00B92133">
                              <w:rPr>
                                <w:sz w:val="20"/>
                              </w:rPr>
                              <w:t>t of such records in terms of their coverage, content, concepts and definitions, the quality assurance and control procedures put in place by the administrative program to ensure their quality, the frequency of the data, the timeliness in receiving the data by the statistical agency and the stability of the program over time.</w:t>
                            </w:r>
                            <w:r>
                              <w:rPr>
                                <w:sz w:val="20"/>
                              </w:rPr>
                              <w:t xml:space="preserve"> </w:t>
                            </w:r>
                            <w:r w:rsidRPr="00B92133">
                              <w:rPr>
                                <w:sz w:val="20"/>
                              </w:rPr>
                              <w:t>The cost of obtaining the administrative records is also a key factor in the decision to use such records</w:t>
                            </w:r>
                          </w:p>
                          <w:p w14:paraId="4B6377EB" w14:textId="77777777" w:rsidR="008B7064" w:rsidRPr="000F26F1" w:rsidRDefault="008B7064" w:rsidP="008B7064">
                            <w:pPr>
                              <w:rPr>
                                <w:sz w:val="20"/>
                              </w:rPr>
                            </w:pPr>
                            <w:r>
                              <w:rPr>
                                <w:sz w:val="20"/>
                              </w:rPr>
                              <w:t xml:space="preserve">Source: </w:t>
                            </w:r>
                            <w:r w:rsidRPr="006A62F6">
                              <w:rPr>
                                <w:sz w:val="20"/>
                              </w:rPr>
                              <w:t>Statistics Canada (2009).</w:t>
                            </w:r>
                            <w:r>
                              <w:rPr>
                                <w:sz w:val="20"/>
                              </w:rPr>
                              <w:t xml:space="preserve"> </w:t>
                            </w:r>
                            <w:proofErr w:type="gramStart"/>
                            <w:r w:rsidRPr="006A62F6">
                              <w:rPr>
                                <w:sz w:val="20"/>
                              </w:rPr>
                              <w:t>Statistics Canada Quality Guidelines.</w:t>
                            </w:r>
                            <w:proofErr w:type="gramEnd"/>
                            <w:r>
                              <w:rPr>
                                <w:sz w:val="20"/>
                              </w:rPr>
                              <w:t xml:space="preserve"> </w:t>
                            </w:r>
                            <w:r w:rsidRPr="006A62F6">
                              <w:rPr>
                                <w:sz w:val="20"/>
                              </w:rPr>
                              <w:t xml:space="preserve">Statistics </w:t>
                            </w:r>
                            <w:smartTag w:uri="urn:schemas-microsoft-com:office:smarttags" w:element="country-region">
                              <w:r w:rsidRPr="006A62F6">
                                <w:rPr>
                                  <w:sz w:val="20"/>
                                </w:rPr>
                                <w:t>Canada</w:t>
                              </w:r>
                            </w:smartTag>
                            <w:r w:rsidRPr="006A62F6">
                              <w:rPr>
                                <w:sz w:val="20"/>
                              </w:rPr>
                              <w:t xml:space="preserve">, Fifth Edition, </w:t>
                            </w:r>
                            <w:smartTag w:uri="urn:schemas-microsoft-com:office:smarttags" w:element="place">
                              <w:smartTag w:uri="urn:schemas-microsoft-com:office:smarttags" w:element="City">
                                <w:r w:rsidRPr="006A62F6">
                                  <w:rPr>
                                    <w:sz w:val="20"/>
                                  </w:rPr>
                                  <w:t>Ottawa</w:t>
                                </w:r>
                              </w:smartTag>
                            </w:smartTag>
                            <w:r w:rsidRPr="006A62F6">
                              <w:rPr>
                                <w:sz w:val="20"/>
                              </w:rPr>
                              <w:t>.</w:t>
                            </w:r>
                            <w:r>
                              <w:rPr>
                                <w:sz w:val="20"/>
                              </w:rPr>
                              <w:t xml:space="preserve"> </w:t>
                            </w:r>
                            <w:proofErr w:type="gramStart"/>
                            <w:r w:rsidRPr="000F26F1">
                              <w:rPr>
                                <w:sz w:val="20"/>
                              </w:rPr>
                              <w:t xml:space="preserve">Available at </w:t>
                            </w:r>
                            <w:hyperlink r:id="rId9" w:history="1">
                              <w:r w:rsidRPr="000F26F1">
                                <w:rPr>
                                  <w:sz w:val="20"/>
                                </w:rPr>
                                <w:t>http://www.statcan.gc.ca/pub/12-539-x/2009001/administrative-administratives-eng.htm</w:t>
                              </w:r>
                            </w:hyperlink>
                            <w:r w:rsidRPr="000F26F1">
                              <w:rPr>
                                <w:sz w:val="20"/>
                              </w:rPr>
                              <w:t>.</w:t>
                            </w:r>
                            <w:proofErr w:type="gramEnd"/>
                            <w:r w:rsidRPr="000F26F1">
                              <w:rPr>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5pt;margin-top:15.8pt;width:437.75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">
                <v:textbox>
                  <w:txbxContent>
                    <w:p w14:paraId="6060A887" w14:textId="77777777" w:rsidR="008B7064" w:rsidRPr="006A62F6" w:rsidRDefault="008B7064" w:rsidP="008B7064">
                      <w:pPr>
                        <w:jc w:val="both"/>
                        <w:rPr>
                          <w:b/>
                          <w:sz w:val="20"/>
                        </w:rPr>
                      </w:pPr>
                      <w:r w:rsidRPr="006A62F6">
                        <w:rPr>
                          <w:b/>
                          <w:sz w:val="20"/>
                        </w:rPr>
                        <w:t xml:space="preserve">Use of administrative data </w:t>
                      </w:r>
                      <w:r>
                        <w:rPr>
                          <w:b/>
                          <w:sz w:val="20"/>
                        </w:rPr>
                        <w:t>in Statistics Canada</w:t>
                      </w:r>
                    </w:p>
                    <w:p w14:paraId="772E1A68" w14:textId="77777777" w:rsidR="008B7064" w:rsidRPr="00B92133" w:rsidRDefault="008B7064" w:rsidP="008B7064">
                      <w:pPr>
                        <w:jc w:val="both"/>
                        <w:rPr>
                          <w:sz w:val="20"/>
                        </w:rPr>
                      </w:pPr>
                      <w:r w:rsidRPr="00B92133">
                        <w:rPr>
                          <w:sz w:val="20"/>
                        </w:rPr>
                        <w:t>Using administrative records presents a number of advantages to a statistical agency and to analysts. Administrative data, because they already exist, do not incur additional cost for data collection nor do they impose a further burden on respondents, provided the coverage and the conceptual framework of the administrative data are compatible with the target population or the collection of administrative data is not terminated.</w:t>
                      </w:r>
                    </w:p>
                    <w:p w14:paraId="3EB8000B" w14:textId="77777777" w:rsidR="008B7064" w:rsidRPr="00B92133" w:rsidRDefault="008B7064" w:rsidP="008B7064">
                      <w:pPr>
                        <w:jc w:val="both"/>
                        <w:rPr>
                          <w:sz w:val="20"/>
                        </w:rPr>
                      </w:pPr>
                      <w:r w:rsidRPr="00B92133">
                        <w:rPr>
                          <w:sz w:val="20"/>
                        </w:rPr>
                        <w:t>On the other hand, one must be careful in using administrative data as there are a number of limitations to be aware of including (</w:t>
                      </w:r>
                      <w:proofErr w:type="spellStart"/>
                      <w:r w:rsidRPr="00B92133">
                        <w:rPr>
                          <w:sz w:val="20"/>
                        </w:rPr>
                        <w:t>i</w:t>
                      </w:r>
                      <w:proofErr w:type="spellEnd"/>
                      <w:r w:rsidRPr="00B92133">
                        <w:rPr>
                          <w:sz w:val="20"/>
                        </w:rPr>
                        <w:t>) the level or the lack of quality control over the data, (ii) the possibility of having missing items or missing records (an incomplete file), (iii) the difference in concepts which might lead to bias problems, as well as coverage problems, (iv) the timeliness of the data (the collection of the data being out of the statistical agency’s control, it is possible that due to external events, part or all of the data might not be received on time), and (v) the cost that comes with administrative data: for instance, computer systems are needed to clean and complete the data in order to make it useful.</w:t>
                      </w:r>
                    </w:p>
                    <w:p w14:paraId="33E66E01" w14:textId="77777777" w:rsidR="008B7064" w:rsidRPr="00B92133" w:rsidRDefault="008B7064" w:rsidP="008B7064">
                      <w:pPr>
                        <w:jc w:val="both"/>
                        <w:rPr>
                          <w:sz w:val="20"/>
                        </w:rPr>
                      </w:pPr>
                      <w:r w:rsidRPr="00B92133">
                        <w:rPr>
                          <w:sz w:val="20"/>
                        </w:rPr>
                        <w:t>The use of administrative records may raise concerns about the privacy of the information when these are linked to other sources of data requiring agencies to provide all respondents with information on the confidentiality protection measures, the record linkage plans and the identity of the parties to any agreements to share the information provided by those respondents.</w:t>
                      </w:r>
                    </w:p>
                    <w:p w14:paraId="2A16E532" w14:textId="16AC1933" w:rsidR="008B7064" w:rsidRDefault="008B7064" w:rsidP="008B7064">
                      <w:pPr>
                        <w:rPr>
                          <w:sz w:val="20"/>
                        </w:rPr>
                      </w:pPr>
                      <w:r w:rsidRPr="00B92133">
                        <w:rPr>
                          <w:sz w:val="20"/>
                        </w:rPr>
                        <w:t>The use of administrative data may require the statistical agency to implement only a subset of the survey steps discussed in the other sections.</w:t>
                      </w:r>
                      <w:r w:rsidR="00EE7521">
                        <w:rPr>
                          <w:sz w:val="20"/>
                        </w:rPr>
                        <w:t xml:space="preserve"> </w:t>
                      </w:r>
                      <w:r w:rsidRPr="00B92133">
                        <w:rPr>
                          <w:sz w:val="20"/>
                        </w:rPr>
                        <w:t>Furthermore, any decisions related to the use of administrative data must be preceded by an assessmen</w:t>
                      </w:r>
                      <w:bookmarkStart w:id="1" w:name="_GoBack"/>
                      <w:bookmarkEnd w:id="1"/>
                      <w:r w:rsidRPr="00B92133">
                        <w:rPr>
                          <w:sz w:val="20"/>
                        </w:rPr>
                        <w:t>t of such records in terms of their coverage, content, concepts and definitions, the quality assurance and control procedures put in place by the administrative program to ensure their quality, the frequency of the data, the timeliness in receiving the data by the statistical agency and the stability of the program over time.</w:t>
                      </w:r>
                      <w:r>
                        <w:rPr>
                          <w:sz w:val="20"/>
                        </w:rPr>
                        <w:t xml:space="preserve"> </w:t>
                      </w:r>
                      <w:r w:rsidRPr="00B92133">
                        <w:rPr>
                          <w:sz w:val="20"/>
                        </w:rPr>
                        <w:t>The cost of obtaining the administrative records is also a key factor in the decision to use such records</w:t>
                      </w:r>
                    </w:p>
                    <w:p w14:paraId="4B6377EB" w14:textId="77777777" w:rsidR="008B7064" w:rsidRPr="000F26F1" w:rsidRDefault="008B7064" w:rsidP="008B7064">
                      <w:pPr>
                        <w:rPr>
                          <w:sz w:val="20"/>
                        </w:rPr>
                      </w:pPr>
                      <w:r>
                        <w:rPr>
                          <w:sz w:val="20"/>
                        </w:rPr>
                        <w:t xml:space="preserve">Source: </w:t>
                      </w:r>
                      <w:r w:rsidRPr="006A62F6">
                        <w:rPr>
                          <w:sz w:val="20"/>
                        </w:rPr>
                        <w:t>Statistics Canada (2009).</w:t>
                      </w:r>
                      <w:r>
                        <w:rPr>
                          <w:sz w:val="20"/>
                        </w:rPr>
                        <w:t xml:space="preserve"> </w:t>
                      </w:r>
                      <w:proofErr w:type="gramStart"/>
                      <w:r w:rsidRPr="006A62F6">
                        <w:rPr>
                          <w:sz w:val="20"/>
                        </w:rPr>
                        <w:t>Statistics Canada Quality Guidelines.</w:t>
                      </w:r>
                      <w:proofErr w:type="gramEnd"/>
                      <w:r>
                        <w:rPr>
                          <w:sz w:val="20"/>
                        </w:rPr>
                        <w:t xml:space="preserve"> </w:t>
                      </w:r>
                      <w:r w:rsidRPr="006A62F6">
                        <w:rPr>
                          <w:sz w:val="20"/>
                        </w:rPr>
                        <w:t xml:space="preserve">Statistics </w:t>
                      </w:r>
                      <w:smartTag w:uri="urn:schemas-microsoft-com:office:smarttags" w:element="country-region">
                        <w:r w:rsidRPr="006A62F6">
                          <w:rPr>
                            <w:sz w:val="20"/>
                          </w:rPr>
                          <w:t>Canada</w:t>
                        </w:r>
                      </w:smartTag>
                      <w:r w:rsidRPr="006A62F6">
                        <w:rPr>
                          <w:sz w:val="20"/>
                        </w:rPr>
                        <w:t xml:space="preserve">, Fifth Edition, </w:t>
                      </w:r>
                      <w:smartTag w:uri="urn:schemas-microsoft-com:office:smarttags" w:element="place">
                        <w:smartTag w:uri="urn:schemas-microsoft-com:office:smarttags" w:element="City">
                          <w:r w:rsidRPr="006A62F6">
                            <w:rPr>
                              <w:sz w:val="20"/>
                            </w:rPr>
                            <w:t>Ottawa</w:t>
                          </w:r>
                        </w:smartTag>
                      </w:smartTag>
                      <w:r w:rsidRPr="006A62F6">
                        <w:rPr>
                          <w:sz w:val="20"/>
                        </w:rPr>
                        <w:t>.</w:t>
                      </w:r>
                      <w:r>
                        <w:rPr>
                          <w:sz w:val="20"/>
                        </w:rPr>
                        <w:t xml:space="preserve"> </w:t>
                      </w:r>
                      <w:proofErr w:type="gramStart"/>
                      <w:r w:rsidRPr="000F26F1">
                        <w:rPr>
                          <w:sz w:val="20"/>
                        </w:rPr>
                        <w:t xml:space="preserve">Available at </w:t>
                      </w:r>
                      <w:hyperlink r:id="rId10" w:history="1">
                        <w:r w:rsidRPr="000F26F1">
                          <w:rPr>
                            <w:sz w:val="20"/>
                          </w:rPr>
                          <w:t>http://www.statcan.gc.ca/pub/12-539-x/2009001/administrative-administratives-eng.htm</w:t>
                        </w:r>
                      </w:hyperlink>
                      <w:r w:rsidRPr="000F26F1">
                        <w:rPr>
                          <w:sz w:val="20"/>
                        </w:rPr>
                        <w:t>.</w:t>
                      </w:r>
                      <w:proofErr w:type="gramEnd"/>
                      <w:r w:rsidRPr="000F26F1">
                        <w:rPr>
                          <w:sz w:val="20"/>
                        </w:rPr>
                        <w:t xml:space="preserve"> </w:t>
                      </w:r>
                    </w:p>
                  </w:txbxContent>
                </v:textbox>
                <w10:wrap type="topAndBottom"/>
              </v:shape>
            </w:pict>
          </mc:Fallback>
        </mc:AlternateContent>
      </w:r>
    </w:p>
    <w:p w14:paraId="651E7047" w14:textId="77777777" w:rsidR="008B7064" w:rsidRDefault="008B7064" w:rsidP="007B7E63">
      <w:pPr>
        <w:jc w:val="both"/>
      </w:pPr>
    </w:p>
    <w:p w14:paraId="6055A3A4" w14:textId="77777777" w:rsidR="006B674C" w:rsidRPr="00676813" w:rsidRDefault="000C67B5" w:rsidP="00ED51C3">
      <w:pPr>
        <w:pBdr>
          <w:top w:val="single" w:sz="4" w:space="1" w:color="auto"/>
          <w:left w:val="single" w:sz="4" w:space="1" w:color="auto"/>
          <w:bottom w:val="single" w:sz="4" w:space="1" w:color="auto"/>
          <w:right w:val="single" w:sz="4" w:space="1" w:color="auto"/>
        </w:pBdr>
        <w:shd w:val="clear" w:color="auto" w:fill="F2F2F2" w:themeFill="background1" w:themeFillShade="F2"/>
        <w:rPr>
          <w:i/>
        </w:rPr>
      </w:pPr>
      <w:r w:rsidRPr="00676813">
        <w:rPr>
          <w:b/>
          <w:i/>
        </w:rPr>
        <w:t>Country example</w:t>
      </w:r>
      <w:r w:rsidR="008510E2" w:rsidRPr="00676813">
        <w:rPr>
          <w:b/>
          <w:i/>
        </w:rPr>
        <w:t xml:space="preserve"> </w:t>
      </w:r>
      <w:r w:rsidR="009A10F7" w:rsidRPr="00676813">
        <w:rPr>
          <w:b/>
          <w:i/>
        </w:rPr>
        <w:t xml:space="preserve">Netherlands: </w:t>
      </w:r>
      <w:r w:rsidR="006B674C" w:rsidRPr="00676813">
        <w:rPr>
          <w:i/>
        </w:rPr>
        <w:t>Use of the client registers for energy statistics: consumption by dwellings and businesses</w:t>
      </w:r>
    </w:p>
    <w:p w14:paraId="5073B19B"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jc w:val="both"/>
        <w:rPr>
          <w:rFonts w:cs="Times"/>
          <w:szCs w:val="20"/>
        </w:rPr>
      </w:pPr>
      <w:r w:rsidRPr="00676813">
        <w:rPr>
          <w:rFonts w:cs="Times"/>
          <w:szCs w:val="20"/>
        </w:rPr>
        <w:t xml:space="preserve">The basic idea behind the client registers project was to compile statistics on the consumption of electricity and gas by energy consumers for the overall energy balance, identifying consumption of households as well as of businesses by branch of industry. The client registers, however do not contain the information needed to determine if a connection is owned by a household or a business, let alone branch of industry. </w:t>
      </w:r>
    </w:p>
    <w:p w14:paraId="017157C9"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jc w:val="both"/>
        <w:rPr>
          <w:rFonts w:cs="Times"/>
          <w:szCs w:val="20"/>
        </w:rPr>
      </w:pPr>
      <w:r w:rsidRPr="00676813">
        <w:rPr>
          <w:rFonts w:cs="Times"/>
          <w:szCs w:val="20"/>
        </w:rPr>
        <w:t>In order to reach this goal the client registers are matched with a register of dwellings and the business register, using the address, postal code, house number, and house number suffix as a matching key</w:t>
      </w:r>
      <w:r w:rsidRPr="00676813">
        <w:rPr>
          <w:rFonts w:cs="Times"/>
          <w:szCs w:val="20"/>
          <w:vertAlign w:val="superscript"/>
        </w:rPr>
        <w:footnoteReference w:id="7"/>
      </w:r>
      <w:r w:rsidRPr="00676813">
        <w:rPr>
          <w:rFonts w:cs="Times"/>
          <w:szCs w:val="20"/>
        </w:rPr>
        <w:t xml:space="preserve">. While matching with the business register was obviously required to </w:t>
      </w:r>
      <w:r w:rsidRPr="00676813">
        <w:rPr>
          <w:rFonts w:cs="Times"/>
          <w:szCs w:val="20"/>
        </w:rPr>
        <w:lastRenderedPageBreak/>
        <w:t xml:space="preserve">identify businesses, this also assisted in identifying false positives (about 2% of the positive matches in our case) in the population of household connections. From the beginning of the project it was clear that matching the client registers with the business register was the biggest challenge. Only about 50% of the business addresses initially matched to one or more addresses of connections in the client registers, both for electricity and for gas. </w:t>
      </w:r>
    </w:p>
    <w:p w14:paraId="744170A4"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jc w:val="both"/>
        <w:rPr>
          <w:rFonts w:cs="Times"/>
          <w:szCs w:val="20"/>
        </w:rPr>
      </w:pPr>
      <w:r w:rsidRPr="00676813">
        <w:rPr>
          <w:rFonts w:cs="Times"/>
          <w:szCs w:val="20"/>
        </w:rPr>
        <w:t>Matching the records of the client registers of electricity to the dwellings register is less problematic, although not straightforward. Not every match with the dwelling register is a dwelling, and some household connections do not match to the dwelling register (about 3% of the connections in our case). The biggest challenge is matching dwellings with unusual house number suffixes, followed by the challenges of identifying dwellings with block heating and businesses within dwellings. These challenges are explained in subsequent sections.</w:t>
      </w:r>
    </w:p>
    <w:p w14:paraId="0D8B2D62" w14:textId="40472CF3"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jc w:val="both"/>
        <w:rPr>
          <w:rFonts w:cs="Times"/>
          <w:szCs w:val="20"/>
        </w:rPr>
      </w:pPr>
      <w:r w:rsidRPr="00676813">
        <w:rPr>
          <w:rFonts w:cs="Times"/>
          <w:szCs w:val="20"/>
        </w:rPr>
        <w:t xml:space="preserve">The dwellings register contains variables characterizing the dwellings, for example dwelling type (whether it is an apartment, a villa, etc.), province, town, town district and neighbourhood (see example in </w:t>
      </w:r>
      <w:r w:rsidRPr="00676813">
        <w:fldChar w:fldCharType="begin"/>
      </w:r>
      <w:r w:rsidRPr="00676813">
        <w:instrText xml:space="preserve"> REF _Ref345079916 \h  \* MERGEFORMAT </w:instrText>
      </w:r>
      <w:r w:rsidRPr="00676813">
        <w:fldChar w:fldCharType="separate"/>
      </w:r>
      <w:r w:rsidR="00D32796" w:rsidRPr="00676813">
        <w:rPr>
          <w:rFonts w:cs="Times"/>
          <w:szCs w:val="20"/>
        </w:rPr>
        <w:t>Table</w:t>
      </w:r>
      <w:r w:rsidRPr="00676813">
        <w:fldChar w:fldCharType="end"/>
      </w:r>
      <w:r w:rsidR="00D32796">
        <w:t xml:space="preserve"> </w:t>
      </w:r>
      <w:r w:rsidRPr="00676813">
        <w:rPr>
          <w:rFonts w:cs="Times"/>
          <w:szCs w:val="20"/>
        </w:rPr>
        <w:t xml:space="preserve">4.2.2 and the graphical representation in Figure 4.2.2). This enables producing statistics on electricity and gas consumption, per dwelling type and quarter/neighbourhood. Statistics Netherlands does this since 2008. </w:t>
      </w:r>
    </w:p>
    <w:p w14:paraId="2F58B389"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jc w:val="both"/>
        <w:rPr>
          <w:rFonts w:cs="Times"/>
          <w:szCs w:val="20"/>
        </w:rPr>
      </w:pPr>
      <w:r w:rsidRPr="00676813">
        <w:rPr>
          <w:rFonts w:cs="Times"/>
          <w:szCs w:val="20"/>
        </w:rPr>
        <w:t>From a base of knowing essentially only the name and address of each connection, Statistics Netherlands eventually succeeded in attributing household or branch of industry (21 branches at the highest level according to ISIC Rev.4) to &gt;96% of all electricity and gas consumptions included in the client registers of 2010.</w:t>
      </w:r>
    </w:p>
    <w:p w14:paraId="78EC6BAD"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jc w:val="center"/>
        <w:rPr>
          <w:rFonts w:cs="Times"/>
          <w:szCs w:val="20"/>
        </w:rPr>
      </w:pPr>
      <w:bookmarkStart w:id="2" w:name="_Ref345079916"/>
      <w:bookmarkStart w:id="3" w:name="_Ref345079920"/>
      <w:r w:rsidRPr="00676813">
        <w:rPr>
          <w:rFonts w:cs="Times"/>
          <w:szCs w:val="20"/>
        </w:rPr>
        <w:t>Table</w:t>
      </w:r>
      <w:bookmarkEnd w:id="2"/>
      <w:r w:rsidR="00A47D4C" w:rsidRPr="00676813">
        <w:rPr>
          <w:rFonts w:cs="Times"/>
          <w:szCs w:val="20"/>
        </w:rPr>
        <w:t xml:space="preserve"> 1</w:t>
      </w:r>
      <w:r w:rsidRPr="00676813">
        <w:rPr>
          <w:rFonts w:cs="Times"/>
          <w:szCs w:val="20"/>
        </w:rPr>
        <w:t xml:space="preserve">: Sample output: Average gas consumption (m3) of dwellings in Rotterdam </w:t>
      </w:r>
      <w:bookmarkEnd w:id="3"/>
      <w:proofErr w:type="spellStart"/>
      <w:r w:rsidRPr="00676813">
        <w:rPr>
          <w:rFonts w:cs="Times"/>
          <w:szCs w:val="20"/>
        </w:rPr>
        <w:t>Overschie</w:t>
      </w:r>
      <w:proofErr w:type="spellEnd"/>
    </w:p>
    <w:tbl>
      <w:tblPr>
        <w:tblW w:w="0" w:type="auto"/>
        <w:tblCellSpacing w:w="0" w:type="dxa"/>
        <w:tblInd w:w="1746" w:type="dxa"/>
        <w:tblBorders>
          <w:top w:val="single" w:sz="4" w:space="0" w:color="C9D8DF"/>
          <w:left w:val="single" w:sz="4" w:space="0" w:color="C9D8DF"/>
          <w:bottom w:val="single" w:sz="4" w:space="0" w:color="C9D8DF"/>
          <w:right w:val="single" w:sz="4" w:space="0" w:color="C9D8DF"/>
        </w:tblBorders>
        <w:shd w:val="clear" w:color="auto" w:fill="C9D8DF"/>
        <w:tblLayout w:type="fixed"/>
        <w:tblLook w:val="04A0" w:firstRow="1" w:lastRow="0" w:firstColumn="1" w:lastColumn="0" w:noHBand="0" w:noVBand="1"/>
      </w:tblPr>
      <w:tblGrid>
        <w:gridCol w:w="751"/>
        <w:gridCol w:w="850"/>
        <w:gridCol w:w="851"/>
        <w:gridCol w:w="709"/>
        <w:gridCol w:w="992"/>
        <w:gridCol w:w="850"/>
        <w:gridCol w:w="709"/>
      </w:tblGrid>
      <w:tr w:rsidR="006B674C" w:rsidRPr="00676813" w14:paraId="1258D0F4" w14:textId="77777777" w:rsidTr="006B674C">
        <w:trPr>
          <w:gridAfter w:val="6"/>
          <w:wAfter w:w="4961" w:type="dxa"/>
          <w:trHeight w:val="346"/>
          <w:tblCellSpacing w:w="0" w:type="dxa"/>
        </w:trPr>
        <w:tc>
          <w:tcPr>
            <w:tcW w:w="751" w:type="dxa"/>
            <w:vMerge w:val="restart"/>
            <w:tcBorders>
              <w:top w:val="inset" w:sz="12" w:space="0" w:color="EFEFFF"/>
              <w:left w:val="inset" w:sz="12" w:space="0" w:color="EFEFFF"/>
              <w:bottom w:val="inset" w:sz="12" w:space="0" w:color="EFEFFF"/>
              <w:right w:val="inset" w:sz="12" w:space="0" w:color="EFEFFF"/>
            </w:tcBorders>
            <w:shd w:val="clear" w:color="auto" w:fill="C9D8DF"/>
            <w:tcMar>
              <w:top w:w="15" w:type="dxa"/>
              <w:left w:w="15" w:type="dxa"/>
              <w:bottom w:w="15" w:type="dxa"/>
              <w:right w:w="15" w:type="dxa"/>
            </w:tcMar>
            <w:vAlign w:val="center"/>
            <w:hideMark/>
          </w:tcPr>
          <w:p w14:paraId="20EBD50B"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ascii="Verdana" w:eastAsia="Cambria" w:hAnsi="Verdana"/>
                <w:color w:val="000000"/>
                <w:sz w:val="14"/>
                <w:szCs w:val="14"/>
                <w:lang w:eastAsia="nl-NL"/>
              </w:rPr>
            </w:pPr>
            <w:r w:rsidRPr="00676813">
              <w:rPr>
                <w:rFonts w:ascii="Verdana" w:eastAsia="Cambria" w:hAnsi="Verdana"/>
                <w:color w:val="000000"/>
                <w:sz w:val="14"/>
                <w:szCs w:val="14"/>
                <w:lang w:eastAsia="nl-NL"/>
              </w:rPr>
              <w:t>Year</w:t>
            </w:r>
          </w:p>
        </w:tc>
      </w:tr>
      <w:tr w:rsidR="006B674C" w:rsidRPr="00676813" w14:paraId="3EC064DE" w14:textId="77777777" w:rsidTr="006B674C">
        <w:trPr>
          <w:tblCellSpacing w:w="0" w:type="dxa"/>
        </w:trPr>
        <w:tc>
          <w:tcPr>
            <w:tcW w:w="751" w:type="dxa"/>
            <w:vMerge/>
            <w:tcBorders>
              <w:top w:val="inset" w:sz="12" w:space="0" w:color="EFEFFF"/>
              <w:left w:val="inset" w:sz="12" w:space="0" w:color="EFEFFF"/>
              <w:bottom w:val="inset" w:sz="12" w:space="0" w:color="EFEFFF"/>
              <w:right w:val="inset" w:sz="12" w:space="0" w:color="EFEFFF"/>
            </w:tcBorders>
            <w:shd w:val="clear" w:color="auto" w:fill="C9D8DF"/>
            <w:vAlign w:val="center"/>
            <w:hideMark/>
          </w:tcPr>
          <w:p w14:paraId="7454DED4"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rPr>
                <w:rFonts w:ascii="Verdana" w:eastAsia="Cambria" w:hAnsi="Verdana"/>
                <w:color w:val="000000"/>
                <w:sz w:val="14"/>
                <w:szCs w:val="14"/>
                <w:lang w:eastAsia="nl-NL"/>
              </w:rPr>
            </w:pPr>
          </w:p>
        </w:tc>
        <w:tc>
          <w:tcPr>
            <w:tcW w:w="4961" w:type="dxa"/>
            <w:gridSpan w:val="6"/>
            <w:tcBorders>
              <w:top w:val="single" w:sz="4" w:space="0" w:color="FFFFFF"/>
              <w:left w:val="single" w:sz="4" w:space="0" w:color="FFFFFF"/>
              <w:bottom w:val="nil"/>
              <w:right w:val="nil"/>
            </w:tcBorders>
            <w:shd w:val="clear" w:color="auto" w:fill="B7D9E2"/>
            <w:tcMar>
              <w:top w:w="15" w:type="dxa"/>
              <w:left w:w="15" w:type="dxa"/>
              <w:bottom w:w="15" w:type="dxa"/>
              <w:right w:w="15" w:type="dxa"/>
            </w:tcMar>
            <w:hideMark/>
          </w:tcPr>
          <w:p w14:paraId="76F56213"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ascii="Verdana" w:eastAsia="Cambria" w:hAnsi="Verdana"/>
                <w:color w:val="000000"/>
                <w:sz w:val="14"/>
                <w:szCs w:val="14"/>
                <w:lang w:eastAsia="nl-NL"/>
              </w:rPr>
            </w:pPr>
            <w:r w:rsidRPr="00676813">
              <w:rPr>
                <w:rFonts w:ascii="Verdana" w:eastAsia="Cambria" w:hAnsi="Verdana"/>
                <w:color w:val="000000"/>
                <w:sz w:val="14"/>
                <w:szCs w:val="14"/>
                <w:lang w:eastAsia="nl-NL"/>
              </w:rPr>
              <w:t>By dwelling type</w:t>
            </w:r>
          </w:p>
        </w:tc>
      </w:tr>
      <w:tr w:rsidR="006B674C" w:rsidRPr="00676813" w14:paraId="45B20FBE" w14:textId="77777777" w:rsidTr="006B674C">
        <w:trPr>
          <w:tblCellSpacing w:w="0" w:type="dxa"/>
        </w:trPr>
        <w:tc>
          <w:tcPr>
            <w:tcW w:w="751" w:type="dxa"/>
            <w:vMerge/>
            <w:tcBorders>
              <w:top w:val="inset" w:sz="12" w:space="0" w:color="EFEFFF"/>
              <w:left w:val="inset" w:sz="12" w:space="0" w:color="EFEFFF"/>
              <w:bottom w:val="inset" w:sz="12" w:space="0" w:color="EFEFFF"/>
              <w:right w:val="inset" w:sz="12" w:space="0" w:color="EFEFFF"/>
            </w:tcBorders>
            <w:shd w:val="clear" w:color="auto" w:fill="C9D8DF"/>
            <w:vAlign w:val="center"/>
            <w:hideMark/>
          </w:tcPr>
          <w:p w14:paraId="75EA7D20"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rPr>
                <w:rFonts w:ascii="Verdana" w:eastAsia="Cambria" w:hAnsi="Verdana"/>
                <w:color w:val="000000"/>
                <w:sz w:val="14"/>
                <w:szCs w:val="14"/>
                <w:lang w:eastAsia="nl-NL"/>
              </w:rPr>
            </w:pPr>
          </w:p>
        </w:tc>
        <w:tc>
          <w:tcPr>
            <w:tcW w:w="850" w:type="dxa"/>
            <w:tcBorders>
              <w:top w:val="single" w:sz="4" w:space="0" w:color="FFFFFF"/>
              <w:left w:val="single" w:sz="4" w:space="0" w:color="FFFFFF"/>
              <w:bottom w:val="nil"/>
              <w:right w:val="nil"/>
            </w:tcBorders>
            <w:shd w:val="clear" w:color="auto" w:fill="B7D9E2"/>
            <w:tcMar>
              <w:top w:w="15" w:type="dxa"/>
              <w:left w:w="15" w:type="dxa"/>
              <w:bottom w:w="15" w:type="dxa"/>
              <w:right w:w="15" w:type="dxa"/>
            </w:tcMar>
            <w:hideMark/>
          </w:tcPr>
          <w:p w14:paraId="3FCF24B8"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ascii="Verdana" w:eastAsia="Cambria" w:hAnsi="Verdana"/>
                <w:color w:val="000000"/>
                <w:sz w:val="14"/>
                <w:szCs w:val="14"/>
                <w:lang w:eastAsia="nl-NL"/>
              </w:rPr>
            </w:pPr>
            <w:r w:rsidRPr="00676813">
              <w:rPr>
                <w:rFonts w:ascii="Verdana" w:eastAsia="Cambria" w:hAnsi="Verdana"/>
                <w:color w:val="000000"/>
                <w:sz w:val="14"/>
                <w:szCs w:val="14"/>
                <w:lang w:eastAsia="nl-NL"/>
              </w:rPr>
              <w:t>Apartment</w:t>
            </w:r>
          </w:p>
        </w:tc>
        <w:tc>
          <w:tcPr>
            <w:tcW w:w="851" w:type="dxa"/>
            <w:tcBorders>
              <w:top w:val="single" w:sz="4" w:space="0" w:color="FFFFFF"/>
              <w:left w:val="single" w:sz="4" w:space="0" w:color="FFFFFF"/>
              <w:bottom w:val="nil"/>
              <w:right w:val="nil"/>
            </w:tcBorders>
            <w:shd w:val="clear" w:color="auto" w:fill="B7D9E2"/>
            <w:tcMar>
              <w:top w:w="15" w:type="dxa"/>
              <w:left w:w="15" w:type="dxa"/>
              <w:bottom w:w="15" w:type="dxa"/>
              <w:right w:w="15" w:type="dxa"/>
            </w:tcMar>
            <w:hideMark/>
          </w:tcPr>
          <w:p w14:paraId="08C0767F"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ascii="Times" w:eastAsia="Cambria" w:hAnsi="Times"/>
                <w:sz w:val="16"/>
                <w:szCs w:val="24"/>
                <w:lang w:val="en-US"/>
              </w:rPr>
            </w:pPr>
            <w:r w:rsidRPr="00676813">
              <w:rPr>
                <w:rFonts w:eastAsia="Cambria"/>
                <w:sz w:val="16"/>
              </w:rPr>
              <w:t>Terraced (Row)</w:t>
            </w:r>
          </w:p>
        </w:tc>
        <w:tc>
          <w:tcPr>
            <w:tcW w:w="709" w:type="dxa"/>
            <w:tcBorders>
              <w:top w:val="single" w:sz="4" w:space="0" w:color="FFFFFF"/>
              <w:left w:val="single" w:sz="4" w:space="0" w:color="FFFFFF"/>
              <w:bottom w:val="nil"/>
              <w:right w:val="nil"/>
            </w:tcBorders>
            <w:shd w:val="clear" w:color="auto" w:fill="B7D9E2"/>
            <w:tcMar>
              <w:top w:w="15" w:type="dxa"/>
              <w:left w:w="15" w:type="dxa"/>
              <w:bottom w:w="15" w:type="dxa"/>
              <w:right w:w="15" w:type="dxa"/>
            </w:tcMar>
            <w:hideMark/>
          </w:tcPr>
          <w:p w14:paraId="5A8E9CD5"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ascii="Times" w:eastAsia="Cambria" w:hAnsi="Times"/>
                <w:sz w:val="16"/>
                <w:szCs w:val="24"/>
                <w:lang w:val="en-US"/>
              </w:rPr>
            </w:pPr>
            <w:r w:rsidRPr="00676813">
              <w:rPr>
                <w:sz w:val="16"/>
              </w:rPr>
              <w:t>End-terraced</w:t>
            </w:r>
            <w:r w:rsidRPr="00676813">
              <w:rPr>
                <w:rFonts w:eastAsia="Cambria"/>
                <w:sz w:val="16"/>
              </w:rPr>
              <w:t xml:space="preserve"> (Corner)</w:t>
            </w:r>
          </w:p>
        </w:tc>
        <w:tc>
          <w:tcPr>
            <w:tcW w:w="992" w:type="dxa"/>
            <w:tcBorders>
              <w:top w:val="single" w:sz="4" w:space="0" w:color="FFFFFF"/>
              <w:left w:val="single" w:sz="4" w:space="0" w:color="FFFFFF"/>
              <w:bottom w:val="nil"/>
              <w:right w:val="nil"/>
            </w:tcBorders>
            <w:shd w:val="clear" w:color="auto" w:fill="B7D9E2"/>
            <w:tcMar>
              <w:top w:w="15" w:type="dxa"/>
              <w:left w:w="15" w:type="dxa"/>
              <w:bottom w:w="15" w:type="dxa"/>
              <w:right w:w="15" w:type="dxa"/>
            </w:tcMar>
            <w:hideMark/>
          </w:tcPr>
          <w:p w14:paraId="2C238826"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ascii="Verdana" w:eastAsia="Cambria" w:hAnsi="Verdana"/>
                <w:color w:val="000000"/>
                <w:sz w:val="14"/>
                <w:szCs w:val="14"/>
                <w:lang w:eastAsia="nl-NL"/>
              </w:rPr>
            </w:pPr>
            <w:r w:rsidRPr="00676813">
              <w:rPr>
                <w:rFonts w:ascii="Verdana" w:eastAsia="Cambria" w:hAnsi="Verdana"/>
                <w:color w:val="000000"/>
                <w:sz w:val="14"/>
                <w:szCs w:val="14"/>
                <w:lang w:eastAsia="nl-NL"/>
              </w:rPr>
              <w:t>Semi-detached</w:t>
            </w:r>
          </w:p>
        </w:tc>
        <w:tc>
          <w:tcPr>
            <w:tcW w:w="850" w:type="dxa"/>
            <w:tcBorders>
              <w:top w:val="single" w:sz="4" w:space="0" w:color="FFFFFF"/>
              <w:left w:val="single" w:sz="4" w:space="0" w:color="FFFFFF"/>
              <w:bottom w:val="nil"/>
              <w:right w:val="nil"/>
            </w:tcBorders>
            <w:shd w:val="clear" w:color="auto" w:fill="B7D9E2"/>
            <w:tcMar>
              <w:top w:w="15" w:type="dxa"/>
              <w:left w:w="15" w:type="dxa"/>
              <w:bottom w:w="15" w:type="dxa"/>
              <w:right w:w="15" w:type="dxa"/>
            </w:tcMar>
            <w:hideMark/>
          </w:tcPr>
          <w:p w14:paraId="6A2ADB71"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ascii="Verdana" w:eastAsia="Cambria" w:hAnsi="Verdana"/>
                <w:color w:val="000000"/>
                <w:sz w:val="14"/>
                <w:szCs w:val="14"/>
                <w:lang w:eastAsia="nl-NL"/>
              </w:rPr>
            </w:pPr>
            <w:r w:rsidRPr="00676813">
              <w:rPr>
                <w:rFonts w:ascii="Verdana" w:eastAsia="Cambria" w:hAnsi="Verdana"/>
                <w:color w:val="000000"/>
                <w:sz w:val="14"/>
                <w:szCs w:val="14"/>
                <w:lang w:eastAsia="nl-NL"/>
              </w:rPr>
              <w:t>Detached</w:t>
            </w:r>
          </w:p>
        </w:tc>
        <w:tc>
          <w:tcPr>
            <w:tcW w:w="709" w:type="dxa"/>
            <w:tcBorders>
              <w:top w:val="single" w:sz="4" w:space="0" w:color="FFFFFF"/>
              <w:left w:val="single" w:sz="4" w:space="0" w:color="FFFFFF"/>
              <w:bottom w:val="nil"/>
              <w:right w:val="nil"/>
            </w:tcBorders>
            <w:shd w:val="clear" w:color="auto" w:fill="B7D9E2"/>
            <w:tcMar>
              <w:top w:w="15" w:type="dxa"/>
              <w:left w:w="15" w:type="dxa"/>
              <w:bottom w:w="15" w:type="dxa"/>
              <w:right w:w="15" w:type="dxa"/>
            </w:tcMar>
          </w:tcPr>
          <w:p w14:paraId="09315C64"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ascii="Verdana" w:eastAsia="Cambria" w:hAnsi="Verdana"/>
                <w:color w:val="000000"/>
                <w:sz w:val="14"/>
                <w:szCs w:val="14"/>
                <w:lang w:eastAsia="nl-NL"/>
              </w:rPr>
            </w:pPr>
          </w:p>
        </w:tc>
      </w:tr>
      <w:tr w:rsidR="006B674C" w:rsidRPr="00676813" w14:paraId="5B5662E5" w14:textId="77777777" w:rsidTr="006B674C">
        <w:trPr>
          <w:tblCellSpacing w:w="0" w:type="dxa"/>
        </w:trPr>
        <w:tc>
          <w:tcPr>
            <w:tcW w:w="751" w:type="dxa"/>
            <w:tcBorders>
              <w:top w:val="single" w:sz="4" w:space="0" w:color="FFFFFF"/>
              <w:left w:val="single" w:sz="4" w:space="0" w:color="FFFFFF"/>
              <w:bottom w:val="nil"/>
              <w:right w:val="nil"/>
            </w:tcBorders>
            <w:shd w:val="clear" w:color="auto" w:fill="B7D9E2"/>
            <w:tcMar>
              <w:top w:w="15" w:type="dxa"/>
              <w:left w:w="15" w:type="dxa"/>
              <w:bottom w:w="15" w:type="dxa"/>
              <w:right w:w="15" w:type="dxa"/>
            </w:tcMar>
            <w:hideMark/>
          </w:tcPr>
          <w:p w14:paraId="5B12B454"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ascii="Verdana" w:eastAsia="Cambria" w:hAnsi="Verdana"/>
                <w:color w:val="000000"/>
                <w:sz w:val="14"/>
                <w:szCs w:val="14"/>
                <w:lang w:eastAsia="nl-NL"/>
              </w:rPr>
            </w:pPr>
            <w:r w:rsidRPr="00676813">
              <w:rPr>
                <w:rFonts w:ascii="Verdana" w:eastAsia="Cambria" w:hAnsi="Verdana"/>
                <w:color w:val="000000"/>
                <w:sz w:val="14"/>
                <w:szCs w:val="14"/>
                <w:lang w:eastAsia="nl-NL"/>
              </w:rPr>
              <w:t>2004</w:t>
            </w:r>
          </w:p>
        </w:tc>
        <w:tc>
          <w:tcPr>
            <w:tcW w:w="850"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779CDF37"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1300</w:t>
            </w:r>
          </w:p>
        </w:tc>
        <w:tc>
          <w:tcPr>
            <w:tcW w:w="851"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582C45FA"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1650</w:t>
            </w:r>
          </w:p>
        </w:tc>
        <w:tc>
          <w:tcPr>
            <w:tcW w:w="709"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3585718C"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1950</w:t>
            </w:r>
          </w:p>
        </w:tc>
        <w:tc>
          <w:tcPr>
            <w:tcW w:w="992"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5B61C6A6"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2600</w:t>
            </w:r>
          </w:p>
        </w:tc>
        <w:tc>
          <w:tcPr>
            <w:tcW w:w="850"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510EB063"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3500</w:t>
            </w:r>
          </w:p>
        </w:tc>
        <w:tc>
          <w:tcPr>
            <w:tcW w:w="709"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tcPr>
          <w:p w14:paraId="3B9196E3"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p>
        </w:tc>
      </w:tr>
      <w:tr w:rsidR="006B674C" w:rsidRPr="00676813" w14:paraId="2995EFE4" w14:textId="77777777" w:rsidTr="006B674C">
        <w:trPr>
          <w:tblCellSpacing w:w="0" w:type="dxa"/>
        </w:trPr>
        <w:tc>
          <w:tcPr>
            <w:tcW w:w="751" w:type="dxa"/>
            <w:tcBorders>
              <w:top w:val="single" w:sz="4" w:space="0" w:color="FFFFFF"/>
              <w:left w:val="single" w:sz="4" w:space="0" w:color="FFFFFF"/>
              <w:bottom w:val="nil"/>
              <w:right w:val="nil"/>
            </w:tcBorders>
            <w:shd w:val="clear" w:color="auto" w:fill="B7D9E2"/>
            <w:tcMar>
              <w:top w:w="15" w:type="dxa"/>
              <w:left w:w="15" w:type="dxa"/>
              <w:bottom w:w="15" w:type="dxa"/>
              <w:right w:w="15" w:type="dxa"/>
            </w:tcMar>
            <w:hideMark/>
          </w:tcPr>
          <w:p w14:paraId="1C1CE2A1"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ascii="Verdana" w:eastAsia="Cambria" w:hAnsi="Verdana"/>
                <w:color w:val="000000"/>
                <w:sz w:val="14"/>
                <w:szCs w:val="14"/>
                <w:lang w:eastAsia="nl-NL"/>
              </w:rPr>
            </w:pPr>
            <w:r w:rsidRPr="00676813">
              <w:rPr>
                <w:rFonts w:ascii="Verdana" w:eastAsia="Cambria" w:hAnsi="Verdana"/>
                <w:color w:val="000000"/>
                <w:sz w:val="14"/>
                <w:szCs w:val="14"/>
                <w:lang w:eastAsia="nl-NL"/>
              </w:rPr>
              <w:t>2005</w:t>
            </w:r>
          </w:p>
        </w:tc>
        <w:tc>
          <w:tcPr>
            <w:tcW w:w="850"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1B2F027F"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w:t>
            </w:r>
          </w:p>
        </w:tc>
        <w:tc>
          <w:tcPr>
            <w:tcW w:w="851"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757F8AF7"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w:t>
            </w:r>
          </w:p>
        </w:tc>
        <w:tc>
          <w:tcPr>
            <w:tcW w:w="709"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390314DA"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w:t>
            </w:r>
          </w:p>
        </w:tc>
        <w:tc>
          <w:tcPr>
            <w:tcW w:w="992"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4643B10F"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w:t>
            </w:r>
          </w:p>
        </w:tc>
        <w:tc>
          <w:tcPr>
            <w:tcW w:w="850"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2DEC5954"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w:t>
            </w:r>
          </w:p>
        </w:tc>
        <w:tc>
          <w:tcPr>
            <w:tcW w:w="709"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tcPr>
          <w:p w14:paraId="5F2BACED"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p>
        </w:tc>
      </w:tr>
      <w:tr w:rsidR="006B674C" w:rsidRPr="00676813" w14:paraId="4CBADCF0" w14:textId="77777777" w:rsidTr="006B674C">
        <w:trPr>
          <w:tblCellSpacing w:w="0" w:type="dxa"/>
        </w:trPr>
        <w:tc>
          <w:tcPr>
            <w:tcW w:w="751" w:type="dxa"/>
            <w:tcBorders>
              <w:top w:val="single" w:sz="4" w:space="0" w:color="FFFFFF"/>
              <w:left w:val="single" w:sz="4" w:space="0" w:color="FFFFFF"/>
              <w:bottom w:val="nil"/>
              <w:right w:val="nil"/>
            </w:tcBorders>
            <w:shd w:val="clear" w:color="auto" w:fill="B7D9E2"/>
            <w:tcMar>
              <w:top w:w="15" w:type="dxa"/>
              <w:left w:w="15" w:type="dxa"/>
              <w:bottom w:w="15" w:type="dxa"/>
              <w:right w:w="15" w:type="dxa"/>
            </w:tcMar>
            <w:hideMark/>
          </w:tcPr>
          <w:p w14:paraId="7820D7F7"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ascii="Verdana" w:eastAsia="Cambria" w:hAnsi="Verdana"/>
                <w:color w:val="000000"/>
                <w:sz w:val="14"/>
                <w:szCs w:val="14"/>
                <w:lang w:eastAsia="nl-NL"/>
              </w:rPr>
            </w:pPr>
            <w:r w:rsidRPr="00676813">
              <w:rPr>
                <w:rFonts w:ascii="Verdana" w:eastAsia="Cambria" w:hAnsi="Verdana"/>
                <w:color w:val="000000"/>
                <w:sz w:val="14"/>
                <w:szCs w:val="14"/>
                <w:lang w:eastAsia="nl-NL"/>
              </w:rPr>
              <w:t>2006</w:t>
            </w:r>
          </w:p>
        </w:tc>
        <w:tc>
          <w:tcPr>
            <w:tcW w:w="850"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1F0A0C47"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1250</w:t>
            </w:r>
          </w:p>
        </w:tc>
        <w:tc>
          <w:tcPr>
            <w:tcW w:w="851"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5F85C8D9"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1600</w:t>
            </w:r>
          </w:p>
        </w:tc>
        <w:tc>
          <w:tcPr>
            <w:tcW w:w="709"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2A770A7E"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1850</w:t>
            </w:r>
          </w:p>
        </w:tc>
        <w:tc>
          <w:tcPr>
            <w:tcW w:w="992"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33DA5F90"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2350</w:t>
            </w:r>
          </w:p>
        </w:tc>
        <w:tc>
          <w:tcPr>
            <w:tcW w:w="850"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5B90DE58"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3350</w:t>
            </w:r>
          </w:p>
        </w:tc>
        <w:tc>
          <w:tcPr>
            <w:tcW w:w="709"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tcPr>
          <w:p w14:paraId="5FAEB74D"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p>
        </w:tc>
      </w:tr>
      <w:tr w:rsidR="006B674C" w:rsidRPr="00676813" w14:paraId="20CDF45E" w14:textId="77777777" w:rsidTr="006B674C">
        <w:trPr>
          <w:tblCellSpacing w:w="0" w:type="dxa"/>
        </w:trPr>
        <w:tc>
          <w:tcPr>
            <w:tcW w:w="751" w:type="dxa"/>
            <w:tcBorders>
              <w:top w:val="single" w:sz="4" w:space="0" w:color="FFFFFF"/>
              <w:left w:val="single" w:sz="4" w:space="0" w:color="FFFFFF"/>
              <w:bottom w:val="nil"/>
              <w:right w:val="nil"/>
            </w:tcBorders>
            <w:shd w:val="clear" w:color="auto" w:fill="B7D9E2"/>
            <w:tcMar>
              <w:top w:w="15" w:type="dxa"/>
              <w:left w:w="15" w:type="dxa"/>
              <w:bottom w:w="15" w:type="dxa"/>
              <w:right w:w="15" w:type="dxa"/>
            </w:tcMar>
            <w:hideMark/>
          </w:tcPr>
          <w:p w14:paraId="37BAC678"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ascii="Verdana" w:eastAsia="Cambria" w:hAnsi="Verdana"/>
                <w:color w:val="000000"/>
                <w:sz w:val="14"/>
                <w:szCs w:val="14"/>
                <w:lang w:eastAsia="nl-NL"/>
              </w:rPr>
            </w:pPr>
            <w:r w:rsidRPr="00676813">
              <w:rPr>
                <w:rFonts w:ascii="Verdana" w:eastAsia="Cambria" w:hAnsi="Verdana"/>
                <w:color w:val="000000"/>
                <w:sz w:val="14"/>
                <w:szCs w:val="14"/>
                <w:lang w:eastAsia="nl-NL"/>
              </w:rPr>
              <w:t>2007</w:t>
            </w:r>
          </w:p>
        </w:tc>
        <w:tc>
          <w:tcPr>
            <w:tcW w:w="850"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135CB6EC"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w:t>
            </w:r>
          </w:p>
        </w:tc>
        <w:tc>
          <w:tcPr>
            <w:tcW w:w="851"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66E24097"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w:t>
            </w:r>
          </w:p>
        </w:tc>
        <w:tc>
          <w:tcPr>
            <w:tcW w:w="709"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10D4DE4A"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w:t>
            </w:r>
          </w:p>
        </w:tc>
        <w:tc>
          <w:tcPr>
            <w:tcW w:w="992"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516072E8"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w:t>
            </w:r>
          </w:p>
        </w:tc>
        <w:tc>
          <w:tcPr>
            <w:tcW w:w="850"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7C2506B1"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w:t>
            </w:r>
          </w:p>
        </w:tc>
        <w:tc>
          <w:tcPr>
            <w:tcW w:w="709"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tcPr>
          <w:p w14:paraId="337EC164"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p>
        </w:tc>
      </w:tr>
      <w:tr w:rsidR="006B674C" w:rsidRPr="00676813" w14:paraId="197E573D" w14:textId="77777777" w:rsidTr="006B674C">
        <w:trPr>
          <w:tblCellSpacing w:w="0" w:type="dxa"/>
        </w:trPr>
        <w:tc>
          <w:tcPr>
            <w:tcW w:w="751" w:type="dxa"/>
            <w:tcBorders>
              <w:top w:val="single" w:sz="4" w:space="0" w:color="FFFFFF"/>
              <w:left w:val="single" w:sz="4" w:space="0" w:color="FFFFFF"/>
              <w:bottom w:val="nil"/>
              <w:right w:val="nil"/>
            </w:tcBorders>
            <w:shd w:val="clear" w:color="auto" w:fill="B7D9E2"/>
            <w:tcMar>
              <w:top w:w="15" w:type="dxa"/>
              <w:left w:w="15" w:type="dxa"/>
              <w:bottom w:w="15" w:type="dxa"/>
              <w:right w:w="15" w:type="dxa"/>
            </w:tcMar>
            <w:hideMark/>
          </w:tcPr>
          <w:p w14:paraId="1824883A"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ascii="Verdana" w:eastAsia="Cambria" w:hAnsi="Verdana"/>
                <w:color w:val="000000"/>
                <w:sz w:val="14"/>
                <w:szCs w:val="14"/>
                <w:lang w:eastAsia="nl-NL"/>
              </w:rPr>
            </w:pPr>
            <w:r w:rsidRPr="00676813">
              <w:rPr>
                <w:rFonts w:ascii="Verdana" w:eastAsia="Cambria" w:hAnsi="Verdana"/>
                <w:color w:val="000000"/>
                <w:sz w:val="14"/>
                <w:szCs w:val="14"/>
                <w:lang w:eastAsia="nl-NL"/>
              </w:rPr>
              <w:t>2008</w:t>
            </w:r>
          </w:p>
        </w:tc>
        <w:tc>
          <w:tcPr>
            <w:tcW w:w="850"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4C8AD6E3"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1300</w:t>
            </w:r>
          </w:p>
        </w:tc>
        <w:tc>
          <w:tcPr>
            <w:tcW w:w="851"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056296B0"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1650</w:t>
            </w:r>
          </w:p>
        </w:tc>
        <w:tc>
          <w:tcPr>
            <w:tcW w:w="709"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323B97B5"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1950</w:t>
            </w:r>
          </w:p>
        </w:tc>
        <w:tc>
          <w:tcPr>
            <w:tcW w:w="992"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3337D651"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2500</w:t>
            </w:r>
          </w:p>
        </w:tc>
        <w:tc>
          <w:tcPr>
            <w:tcW w:w="850"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0025B9EC"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3250</w:t>
            </w:r>
          </w:p>
        </w:tc>
        <w:tc>
          <w:tcPr>
            <w:tcW w:w="709"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tcPr>
          <w:p w14:paraId="425A33B4"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p>
        </w:tc>
      </w:tr>
      <w:tr w:rsidR="006B674C" w:rsidRPr="00676813" w14:paraId="136414DB" w14:textId="77777777" w:rsidTr="006B674C">
        <w:trPr>
          <w:tblCellSpacing w:w="0" w:type="dxa"/>
        </w:trPr>
        <w:tc>
          <w:tcPr>
            <w:tcW w:w="751" w:type="dxa"/>
            <w:tcBorders>
              <w:top w:val="single" w:sz="4" w:space="0" w:color="FFFFFF"/>
              <w:left w:val="single" w:sz="4" w:space="0" w:color="FFFFFF"/>
              <w:bottom w:val="nil"/>
              <w:right w:val="nil"/>
            </w:tcBorders>
            <w:shd w:val="clear" w:color="auto" w:fill="B7D9E2"/>
            <w:tcMar>
              <w:top w:w="15" w:type="dxa"/>
              <w:left w:w="15" w:type="dxa"/>
              <w:bottom w:w="15" w:type="dxa"/>
              <w:right w:w="15" w:type="dxa"/>
            </w:tcMar>
            <w:hideMark/>
          </w:tcPr>
          <w:p w14:paraId="1EE56EAB"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ascii="Verdana" w:eastAsia="Cambria" w:hAnsi="Verdana"/>
                <w:color w:val="000000"/>
                <w:sz w:val="14"/>
                <w:szCs w:val="14"/>
                <w:lang w:eastAsia="nl-NL"/>
              </w:rPr>
            </w:pPr>
            <w:r w:rsidRPr="00676813">
              <w:rPr>
                <w:rFonts w:ascii="Verdana" w:eastAsia="Cambria" w:hAnsi="Verdana"/>
                <w:color w:val="000000"/>
                <w:sz w:val="14"/>
                <w:szCs w:val="14"/>
                <w:lang w:eastAsia="nl-NL"/>
              </w:rPr>
              <w:t>2009</w:t>
            </w:r>
          </w:p>
        </w:tc>
        <w:tc>
          <w:tcPr>
            <w:tcW w:w="850"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62D34FBD"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1250</w:t>
            </w:r>
          </w:p>
        </w:tc>
        <w:tc>
          <w:tcPr>
            <w:tcW w:w="851"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5FA6F9A6"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1600</w:t>
            </w:r>
          </w:p>
        </w:tc>
        <w:tc>
          <w:tcPr>
            <w:tcW w:w="709"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23C4360A"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1950</w:t>
            </w:r>
          </w:p>
        </w:tc>
        <w:tc>
          <w:tcPr>
            <w:tcW w:w="992"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3959E437"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2400</w:t>
            </w:r>
          </w:p>
        </w:tc>
        <w:tc>
          <w:tcPr>
            <w:tcW w:w="850"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4894EFDE"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3300</w:t>
            </w:r>
          </w:p>
        </w:tc>
        <w:tc>
          <w:tcPr>
            <w:tcW w:w="709"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tcPr>
          <w:p w14:paraId="14C2E1FB"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p>
        </w:tc>
      </w:tr>
      <w:tr w:rsidR="006B674C" w:rsidRPr="00676813" w14:paraId="5B35D7C2" w14:textId="77777777" w:rsidTr="006B674C">
        <w:trPr>
          <w:tblCellSpacing w:w="0" w:type="dxa"/>
        </w:trPr>
        <w:tc>
          <w:tcPr>
            <w:tcW w:w="751" w:type="dxa"/>
            <w:tcBorders>
              <w:top w:val="single" w:sz="4" w:space="0" w:color="FFFFFF"/>
              <w:left w:val="single" w:sz="4" w:space="0" w:color="FFFFFF"/>
              <w:bottom w:val="nil"/>
              <w:right w:val="nil"/>
            </w:tcBorders>
            <w:shd w:val="clear" w:color="auto" w:fill="B7D9E2"/>
            <w:tcMar>
              <w:top w:w="15" w:type="dxa"/>
              <w:left w:w="15" w:type="dxa"/>
              <w:bottom w:w="15" w:type="dxa"/>
              <w:right w:w="15" w:type="dxa"/>
            </w:tcMar>
            <w:hideMark/>
          </w:tcPr>
          <w:p w14:paraId="0180D1A8"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ascii="Verdana" w:eastAsia="Cambria" w:hAnsi="Verdana"/>
                <w:color w:val="000000"/>
                <w:sz w:val="14"/>
                <w:szCs w:val="14"/>
                <w:lang w:eastAsia="nl-NL"/>
              </w:rPr>
            </w:pPr>
            <w:r w:rsidRPr="00676813">
              <w:rPr>
                <w:rFonts w:ascii="Verdana" w:eastAsia="Cambria" w:hAnsi="Verdana"/>
                <w:color w:val="000000"/>
                <w:sz w:val="14"/>
                <w:szCs w:val="14"/>
                <w:lang w:eastAsia="nl-NL"/>
              </w:rPr>
              <w:t>2010</w:t>
            </w:r>
          </w:p>
        </w:tc>
        <w:tc>
          <w:tcPr>
            <w:tcW w:w="850"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45F7C112"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1550</w:t>
            </w:r>
          </w:p>
        </w:tc>
        <w:tc>
          <w:tcPr>
            <w:tcW w:w="851"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4CB69B5E"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1900</w:t>
            </w:r>
          </w:p>
        </w:tc>
        <w:tc>
          <w:tcPr>
            <w:tcW w:w="709"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14734390"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2300</w:t>
            </w:r>
          </w:p>
        </w:tc>
        <w:tc>
          <w:tcPr>
            <w:tcW w:w="992"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24F399B2"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2900</w:t>
            </w:r>
          </w:p>
        </w:tc>
        <w:tc>
          <w:tcPr>
            <w:tcW w:w="850"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hideMark/>
          </w:tcPr>
          <w:p w14:paraId="305C05DA"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r w:rsidRPr="00676813">
              <w:rPr>
                <w:rFonts w:cs="Arial"/>
                <w:sz w:val="16"/>
                <w:szCs w:val="16"/>
              </w:rPr>
              <w:t>3600</w:t>
            </w:r>
          </w:p>
        </w:tc>
        <w:tc>
          <w:tcPr>
            <w:tcW w:w="709" w:type="dxa"/>
            <w:tcBorders>
              <w:top w:val="single" w:sz="4" w:space="0" w:color="C9D8DF"/>
              <w:left w:val="nil"/>
              <w:bottom w:val="nil"/>
              <w:right w:val="single" w:sz="4" w:space="0" w:color="C9D8DF"/>
            </w:tcBorders>
            <w:shd w:val="clear" w:color="auto" w:fill="EFFFFF"/>
            <w:noWrap/>
            <w:tcMar>
              <w:top w:w="38" w:type="dxa"/>
              <w:left w:w="38" w:type="dxa"/>
              <w:bottom w:w="38" w:type="dxa"/>
              <w:right w:w="38" w:type="dxa"/>
            </w:tcMar>
            <w:vAlign w:val="bottom"/>
          </w:tcPr>
          <w:p w14:paraId="55593AE9"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Fonts w:cs="Arial"/>
                <w:sz w:val="16"/>
                <w:szCs w:val="16"/>
              </w:rPr>
            </w:pPr>
          </w:p>
        </w:tc>
      </w:tr>
    </w:tbl>
    <w:p w14:paraId="3BA30285"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rStyle w:val="FootnoteReference"/>
          <w:rFonts w:ascii="Times" w:hAnsi="Times"/>
          <w:i/>
          <w:sz w:val="13"/>
          <w:szCs w:val="13"/>
        </w:rPr>
      </w:pPr>
      <w:r w:rsidRPr="00676813">
        <w:rPr>
          <w:rStyle w:val="FootnoteReference"/>
          <w:i/>
          <w:sz w:val="13"/>
          <w:szCs w:val="13"/>
        </w:rPr>
        <w:t xml:space="preserve">source: </w:t>
      </w:r>
      <w:hyperlink r:id="rId11" w:history="1">
        <w:r w:rsidRPr="00676813">
          <w:rPr>
            <w:rStyle w:val="Hyperlink"/>
            <w:i/>
            <w:sz w:val="13"/>
            <w:szCs w:val="13"/>
            <w:vertAlign w:val="superscript"/>
          </w:rPr>
          <w:t>http://statline.cbs.nl/StatWeb/publication/?VW=T&amp;DM=SLNL&amp;PA=70904ned&amp;D1=56-64&amp;D2=10990&amp;D3=0-6&amp;HD=130123-1504&amp;HDR=T&amp;STB=G1,G2&amp;P=T</w:t>
        </w:r>
      </w:hyperlink>
      <w:r w:rsidRPr="00676813">
        <w:rPr>
          <w:rStyle w:val="Hyperlink"/>
          <w:i/>
          <w:sz w:val="13"/>
          <w:szCs w:val="13"/>
          <w:vertAlign w:val="superscript"/>
        </w:rPr>
        <w:t xml:space="preserve"> .</w:t>
      </w:r>
    </w:p>
    <w:p w14:paraId="77A4885F"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jc w:val="center"/>
        <w:rPr>
          <w:b/>
          <w:bCs/>
          <w:iCs/>
          <w:color w:val="00978B"/>
          <w:szCs w:val="20"/>
        </w:rPr>
      </w:pPr>
    </w:p>
    <w:p w14:paraId="7E109F77"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jc w:val="center"/>
        <w:rPr>
          <w:b/>
          <w:bCs/>
          <w:iCs/>
          <w:color w:val="00978B"/>
          <w:szCs w:val="20"/>
        </w:rPr>
      </w:pPr>
      <w:r w:rsidRPr="00676813">
        <w:rPr>
          <w:b/>
          <w:bCs/>
          <w:iCs/>
          <w:color w:val="00978B"/>
          <w:szCs w:val="20"/>
        </w:rPr>
        <w:t xml:space="preserve">Figure </w:t>
      </w:r>
      <w:proofErr w:type="gramStart"/>
      <w:r w:rsidR="00A47D4C" w:rsidRPr="00676813">
        <w:rPr>
          <w:b/>
          <w:bCs/>
          <w:iCs/>
          <w:color w:val="00978B"/>
          <w:szCs w:val="20"/>
        </w:rPr>
        <w:t>1</w:t>
      </w:r>
      <w:r w:rsidRPr="00676813">
        <w:rPr>
          <w:b/>
          <w:bCs/>
          <w:iCs/>
          <w:color w:val="00978B"/>
          <w:szCs w:val="20"/>
        </w:rPr>
        <w:t>.:</w:t>
      </w:r>
      <w:proofErr w:type="gramEnd"/>
      <w:r w:rsidRPr="00676813">
        <w:rPr>
          <w:bCs/>
          <w:iCs/>
          <w:color w:val="00978B"/>
          <w:szCs w:val="20"/>
        </w:rPr>
        <w:t xml:space="preserve"> </w:t>
      </w:r>
      <w:proofErr w:type="spellStart"/>
      <w:r w:rsidRPr="00676813">
        <w:rPr>
          <w:bCs/>
          <w:iCs/>
          <w:color w:val="00978B"/>
          <w:szCs w:val="20"/>
        </w:rPr>
        <w:t>Geomapping</w:t>
      </w:r>
      <w:proofErr w:type="spellEnd"/>
      <w:r w:rsidRPr="00676813">
        <w:rPr>
          <w:bCs/>
          <w:iCs/>
          <w:color w:val="00978B"/>
          <w:szCs w:val="20"/>
        </w:rPr>
        <w:t xml:space="preserve"> of data: average gas consumption of apartments</w:t>
      </w:r>
    </w:p>
    <w:p w14:paraId="5EC29B47"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jc w:val="center"/>
        <w:rPr>
          <w:rStyle w:val="graph-table-mapsourceChar"/>
          <w:rFonts w:eastAsia="MS Mincho"/>
          <w:sz w:val="13"/>
          <w:szCs w:val="13"/>
          <w:lang w:val="en-US"/>
        </w:rPr>
      </w:pPr>
      <w:r w:rsidRPr="00676813">
        <w:rPr>
          <w:noProof/>
          <w:lang w:eastAsia="en-GB"/>
        </w:rPr>
        <w:lastRenderedPageBreak/>
        <w:drawing>
          <wp:inline distT="0" distB="0" distL="0" distR="0" wp14:anchorId="681A2DF9" wp14:editId="4F6291AF">
            <wp:extent cx="4114800" cy="2571750"/>
            <wp:effectExtent l="0" t="0" r="0" b="0"/>
            <wp:docPr id="3" name="Grafik 3" descr="Randstad_gas_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70" descr="Randstad_gas_ap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4800" cy="2571750"/>
                    </a:xfrm>
                    <a:prstGeom prst="rect">
                      <a:avLst/>
                    </a:prstGeom>
                    <a:noFill/>
                    <a:ln>
                      <a:noFill/>
                    </a:ln>
                  </pic:spPr>
                </pic:pic>
              </a:graphicData>
            </a:graphic>
          </wp:inline>
        </w:drawing>
      </w:r>
    </w:p>
    <w:p w14:paraId="6ACBE728"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Times New Roman" w:eastAsia="Cambria" w:hAnsi="Times New Roman" w:cs="Times New Roman"/>
          <w:i/>
        </w:rPr>
      </w:pPr>
      <w:r w:rsidRPr="00676813">
        <w:rPr>
          <w:rStyle w:val="graph-table-mapsourceChar"/>
          <w:rFonts w:eastAsia="MS Mincho"/>
          <w:sz w:val="13"/>
          <w:szCs w:val="13"/>
        </w:rPr>
        <w:t>With this information in hand, local governments can target their efforts at reducing local energy consumption by quickly identifying the areas or buildings with the highest gas or electricity consumption (darker colours in the graphic).</w:t>
      </w:r>
      <w:r w:rsidRPr="00676813">
        <w:rPr>
          <w:rStyle w:val="graph-table-mapsourceChar"/>
          <w:rFonts w:eastAsia="MS Mincho"/>
          <w:sz w:val="13"/>
          <w:szCs w:val="13"/>
        </w:rPr>
        <w:br/>
      </w:r>
      <w:r w:rsidRPr="00676813">
        <w:rPr>
          <w:rStyle w:val="FootnoteReference"/>
          <w:i/>
          <w:sz w:val="13"/>
          <w:szCs w:val="13"/>
        </w:rPr>
        <w:t>Source</w:t>
      </w:r>
      <w:r w:rsidRPr="00676813">
        <w:rPr>
          <w:i/>
          <w:sz w:val="13"/>
          <w:szCs w:val="13"/>
        </w:rPr>
        <w:t>: Statistics Netherlands 2012.Based on statistical register of energy consumption of households.</w:t>
      </w:r>
    </w:p>
    <w:p w14:paraId="2B6FC6BE"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rPr>
          <w:i/>
        </w:rPr>
      </w:pPr>
      <w:r w:rsidRPr="00676813">
        <w:rPr>
          <w:i/>
        </w:rPr>
        <w:t xml:space="preserve">The challenge of suffixes </w:t>
      </w:r>
    </w:p>
    <w:p w14:paraId="7A283F5C"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jc w:val="both"/>
        <w:rPr>
          <w:rFonts w:cs="Times"/>
          <w:szCs w:val="20"/>
        </w:rPr>
      </w:pPr>
      <w:r w:rsidRPr="00676813">
        <w:rPr>
          <w:rFonts w:cs="Times"/>
          <w:szCs w:val="20"/>
        </w:rPr>
        <w:t>Matching addresses in the client files with those in other registers is not as trivial as was first thought initially; the matching rate for the dwellings was only about 80%, for a number of reasons.</w:t>
      </w:r>
    </w:p>
    <w:p w14:paraId="7513B28A"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jc w:val="both"/>
        <w:rPr>
          <w:rFonts w:cs="Times"/>
          <w:szCs w:val="20"/>
        </w:rPr>
      </w:pPr>
      <w:r w:rsidRPr="00676813">
        <w:rPr>
          <w:rFonts w:cs="Times"/>
          <w:szCs w:val="20"/>
        </w:rPr>
        <w:t xml:space="preserve">The first one is that the addresses in the client registers may be wrong (e.g. non-existing in the postal code register) or simply different (e.g. where the names clearly indicate the same business) from addresses in the business or dwellings register. </w:t>
      </w:r>
    </w:p>
    <w:p w14:paraId="0FB55DBC"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jc w:val="both"/>
        <w:rPr>
          <w:rFonts w:cs="Times"/>
          <w:szCs w:val="20"/>
        </w:rPr>
      </w:pPr>
      <w:r w:rsidRPr="00676813">
        <w:rPr>
          <w:rFonts w:cs="Times"/>
          <w:szCs w:val="20"/>
        </w:rPr>
        <w:t xml:space="preserve">More importantly, the addresses in the client registers are far from standardized. The address variables that uniquely identifies an address are postal code, house number and the suffix. But, in the client registers the suffix is used in many different ways. Common examples are A, B, C, 1, 2, 3, I, II, III, 1st </w:t>
      </w:r>
      <w:proofErr w:type="spellStart"/>
      <w:r w:rsidRPr="00676813">
        <w:rPr>
          <w:rFonts w:cs="Times"/>
          <w:szCs w:val="20"/>
        </w:rPr>
        <w:t>fl</w:t>
      </w:r>
      <w:proofErr w:type="spellEnd"/>
      <w:r w:rsidRPr="00676813">
        <w:rPr>
          <w:rFonts w:cs="Times"/>
          <w:szCs w:val="20"/>
        </w:rPr>
        <w:t xml:space="preserve">, 2nd </w:t>
      </w:r>
      <w:proofErr w:type="spellStart"/>
      <w:r w:rsidRPr="00676813">
        <w:rPr>
          <w:rFonts w:cs="Times"/>
          <w:szCs w:val="20"/>
        </w:rPr>
        <w:t>fl</w:t>
      </w:r>
      <w:proofErr w:type="spellEnd"/>
      <w:r w:rsidRPr="00676813">
        <w:rPr>
          <w:rFonts w:cs="Times"/>
          <w:szCs w:val="20"/>
        </w:rPr>
        <w:t xml:space="preserve">, 3rd fl., 015, 025, 035, but unusual cases also occur like ”next”, ”near”, ”across”, ”2 – 3”, but also ”garage”, or ”traction”, and even worse. These suffixes can hardly be expected to match with more standardized suffixes used in a dwellings or business register. </w:t>
      </w:r>
    </w:p>
    <w:p w14:paraId="3BD9A3AE"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jc w:val="both"/>
        <w:rPr>
          <w:rFonts w:cs="Times"/>
          <w:szCs w:val="20"/>
        </w:rPr>
      </w:pPr>
      <w:r w:rsidRPr="00676813">
        <w:rPr>
          <w:rFonts w:cs="Times"/>
          <w:szCs w:val="20"/>
        </w:rPr>
        <w:t>To overcome the problems, two important steps were taken:</w:t>
      </w:r>
    </w:p>
    <w:p w14:paraId="27690E66" w14:textId="77777777" w:rsidR="006B674C" w:rsidRPr="00676813" w:rsidRDefault="006B674C" w:rsidP="001A22EF">
      <w:pPr>
        <w:pStyle w:val="ListParagraph"/>
        <w:numPr>
          <w:ilvl w:val="0"/>
          <w:numId w:val="21"/>
        </w:num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ind w:hanging="720"/>
        <w:contextualSpacing w:val="0"/>
        <w:jc w:val="both"/>
        <w:rPr>
          <w:rFonts w:cs="Times"/>
          <w:szCs w:val="20"/>
        </w:rPr>
      </w:pPr>
      <w:r w:rsidRPr="00676813">
        <w:rPr>
          <w:rFonts w:cs="Times"/>
          <w:szCs w:val="20"/>
        </w:rPr>
        <w:t>Standardisation of the suffix to the house number, for example by dropping characters like ”/”, changing all lower case characters into upper case, etc.</w:t>
      </w:r>
    </w:p>
    <w:p w14:paraId="045A1DC6" w14:textId="77777777" w:rsidR="006B674C" w:rsidRPr="00676813" w:rsidRDefault="006B674C" w:rsidP="001A22EF">
      <w:pPr>
        <w:pStyle w:val="ListParagraph"/>
        <w:numPr>
          <w:ilvl w:val="0"/>
          <w:numId w:val="21"/>
        </w:num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ind w:hanging="720"/>
        <w:contextualSpacing w:val="0"/>
        <w:jc w:val="both"/>
        <w:rPr>
          <w:rFonts w:cs="Times"/>
          <w:szCs w:val="20"/>
        </w:rPr>
      </w:pPr>
      <w:r w:rsidRPr="00676813">
        <w:rPr>
          <w:rFonts w:cs="Times"/>
          <w:szCs w:val="20"/>
        </w:rPr>
        <w:t xml:space="preserve">Change the suffix in the client registers </w:t>
      </w:r>
      <w:proofErr w:type="gramStart"/>
      <w:r w:rsidRPr="00676813">
        <w:rPr>
          <w:rFonts w:cs="Times"/>
          <w:szCs w:val="20"/>
        </w:rPr>
        <w:t>into ”</w:t>
      </w:r>
      <w:proofErr w:type="gramEnd"/>
      <w:r w:rsidRPr="00676813">
        <w:rPr>
          <w:rFonts w:cs="Times"/>
          <w:szCs w:val="20"/>
        </w:rPr>
        <w:t xml:space="preserve">blank” for those addresses that did not initially match and try to match again. </w:t>
      </w:r>
    </w:p>
    <w:p w14:paraId="1034E9AF"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jc w:val="both"/>
        <w:rPr>
          <w:rFonts w:cs="Times"/>
          <w:szCs w:val="20"/>
        </w:rPr>
      </w:pPr>
      <w:r w:rsidRPr="00676813">
        <w:rPr>
          <w:rFonts w:cs="Times"/>
          <w:szCs w:val="20"/>
        </w:rPr>
        <w:t xml:space="preserve">After these steps the matching rate was eventually improved to over 96%. </w:t>
      </w:r>
    </w:p>
    <w:p w14:paraId="58F58D41"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rPr>
          <w:rFonts w:cs="Times New Roman"/>
          <w:i/>
          <w:szCs w:val="24"/>
        </w:rPr>
      </w:pPr>
      <w:r w:rsidRPr="00676813">
        <w:rPr>
          <w:i/>
        </w:rPr>
        <w:t xml:space="preserve">The challenge of block and district heating </w:t>
      </w:r>
    </w:p>
    <w:p w14:paraId="5F38D6AB" w14:textId="5DF1D1C2"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jc w:val="both"/>
        <w:rPr>
          <w:rFonts w:cs="Times"/>
          <w:szCs w:val="20"/>
        </w:rPr>
      </w:pPr>
      <w:r w:rsidRPr="00676813">
        <w:rPr>
          <w:rFonts w:cs="Times"/>
          <w:szCs w:val="20"/>
        </w:rPr>
        <w:t xml:space="preserve">For gas consumption it was a challenge to identify dwellings using block or district heating; </w:t>
      </w:r>
      <w:r w:rsidRPr="00676813">
        <w:rPr>
          <w:rFonts w:cs="Times"/>
          <w:szCs w:val="20"/>
        </w:rPr>
        <w:t>each about 4% of all dwellings.</w:t>
      </w:r>
      <w:r w:rsidR="00EE7521">
        <w:rPr>
          <w:rFonts w:cs="Times"/>
          <w:szCs w:val="20"/>
        </w:rPr>
        <w:t xml:space="preserve"> </w:t>
      </w:r>
    </w:p>
    <w:p w14:paraId="22905915" w14:textId="6D7153FB"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jc w:val="both"/>
        <w:rPr>
          <w:rFonts w:cs="Times"/>
          <w:szCs w:val="20"/>
        </w:rPr>
      </w:pPr>
      <w:r w:rsidRPr="00676813">
        <w:rPr>
          <w:rFonts w:cs="Times"/>
          <w:szCs w:val="20"/>
        </w:rPr>
        <w:t xml:space="preserve">Block heating is the situation where a number of dwellings are heated by a shared heating system. Individual dwellings may either have their own gas connection, which is usually only used for cooking and may therefore have very low gas consumption, or have no gas connection at all. The problem with these dwellings is that the gas consumption of the households living there are underestimated because gas used for heating is attributed to another connection that may not even be considered a dwelling. To solve the problem information was used from the department of environmental and spatial statistics of Statistics Netherlands. They are able to provide information on the precise location of the blocks and of </w:t>
      </w:r>
      <w:r w:rsidRPr="00676813">
        <w:rPr>
          <w:rFonts w:cs="Times"/>
          <w:szCs w:val="20"/>
        </w:rPr>
        <w:t xml:space="preserve">the addresses within these blocks (see </w:t>
      </w:r>
      <w:r w:rsidRPr="00676813">
        <w:fldChar w:fldCharType="begin"/>
      </w:r>
      <w:r w:rsidRPr="00676813">
        <w:instrText xml:space="preserve"> REF _Ref343267724 \h  \* MERGEFORMAT </w:instrText>
      </w:r>
      <w:r w:rsidRPr="00676813">
        <w:fldChar w:fldCharType="separate"/>
      </w:r>
      <w:r w:rsidRPr="00676813">
        <w:rPr>
          <w:rFonts w:cs="Times"/>
          <w:szCs w:val="20"/>
        </w:rPr>
        <w:t xml:space="preserve">Figure </w:t>
      </w:r>
      <w:r w:rsidRPr="00676813">
        <w:fldChar w:fldCharType="end"/>
      </w:r>
      <w:r w:rsidRPr="00676813">
        <w:rPr>
          <w:rFonts w:cs="Times"/>
          <w:szCs w:val="20"/>
        </w:rPr>
        <w:t>4.2.3</w:t>
      </w:r>
      <w:r w:rsidR="00530BED">
        <w:rPr>
          <w:rFonts w:cs="Times"/>
          <w:szCs w:val="20"/>
        </w:rPr>
        <w:t xml:space="preserve"> </w:t>
      </w:r>
      <w:r w:rsidRPr="00676813">
        <w:fldChar w:fldCharType="begin"/>
      </w:r>
      <w:r w:rsidRPr="00676813">
        <w:instrText xml:space="preserve"> REF _Ref343267729 \p \h  \* MERGEFORMAT </w:instrText>
      </w:r>
      <w:r w:rsidRPr="00676813">
        <w:fldChar w:fldCharType="separate"/>
      </w:r>
      <w:r w:rsidR="00D32796" w:rsidRPr="00D32796">
        <w:rPr>
          <w:rFonts w:cs="Times"/>
          <w:szCs w:val="20"/>
        </w:rPr>
        <w:t>below</w:t>
      </w:r>
      <w:r w:rsidRPr="00676813">
        <w:fldChar w:fldCharType="end"/>
      </w:r>
      <w:r w:rsidRPr="00676813">
        <w:rPr>
          <w:rFonts w:cs="Times"/>
          <w:szCs w:val="20"/>
        </w:rPr>
        <w:t xml:space="preserve">). In this way it is </w:t>
      </w:r>
      <w:r w:rsidRPr="00676813">
        <w:rPr>
          <w:rFonts w:cs="Times"/>
          <w:szCs w:val="20"/>
        </w:rPr>
        <w:t>possible to identify blocks of dwellings according to two criteria for each block:</w:t>
      </w:r>
    </w:p>
    <w:p w14:paraId="16B630E1" w14:textId="77777777" w:rsidR="006B674C" w:rsidRPr="00676813" w:rsidRDefault="006B674C" w:rsidP="001A22EF">
      <w:pPr>
        <w:pStyle w:val="ListParagraph"/>
        <w:numPr>
          <w:ilvl w:val="0"/>
          <w:numId w:val="2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ind w:left="426" w:hanging="426"/>
        <w:contextualSpacing w:val="0"/>
        <w:jc w:val="both"/>
        <w:rPr>
          <w:rFonts w:cs="Times"/>
          <w:szCs w:val="20"/>
        </w:rPr>
      </w:pPr>
      <w:r w:rsidRPr="00676813">
        <w:rPr>
          <w:rFonts w:cs="Times"/>
          <w:szCs w:val="20"/>
        </w:rPr>
        <w:lastRenderedPageBreak/>
        <w:t xml:space="preserve">The block includes a number of individual dwellings with zero to very low gas consumption. </w:t>
      </w:r>
    </w:p>
    <w:p w14:paraId="667DEEB1" w14:textId="77777777" w:rsidR="006B674C" w:rsidRPr="00676813" w:rsidRDefault="006B674C" w:rsidP="001A22EF">
      <w:pPr>
        <w:pStyle w:val="ListParagraph"/>
        <w:numPr>
          <w:ilvl w:val="0"/>
          <w:numId w:val="2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ind w:left="426" w:hanging="426"/>
        <w:contextualSpacing w:val="0"/>
        <w:jc w:val="both"/>
        <w:rPr>
          <w:rFonts w:cs="Times"/>
          <w:szCs w:val="20"/>
        </w:rPr>
      </w:pPr>
      <w:r w:rsidRPr="00676813">
        <w:rPr>
          <w:rFonts w:cs="Times"/>
          <w:szCs w:val="20"/>
        </w:rPr>
        <w:t xml:space="preserve">The block has one address, supposed to be the </w:t>
      </w:r>
      <w:proofErr w:type="gramStart"/>
      <w:r w:rsidRPr="00676813">
        <w:rPr>
          <w:rFonts w:cs="Times"/>
          <w:szCs w:val="20"/>
        </w:rPr>
        <w:t>address(</w:t>
      </w:r>
      <w:proofErr w:type="spellStart"/>
      <w:proofErr w:type="gramEnd"/>
      <w:r w:rsidRPr="00676813">
        <w:rPr>
          <w:rFonts w:cs="Times"/>
          <w:szCs w:val="20"/>
        </w:rPr>
        <w:t>es</w:t>
      </w:r>
      <w:proofErr w:type="spellEnd"/>
      <w:r w:rsidRPr="00676813">
        <w:rPr>
          <w:rFonts w:cs="Times"/>
          <w:szCs w:val="20"/>
        </w:rPr>
        <w:t xml:space="preserve">) of the block heating system, with very high gas consumption. </w:t>
      </w:r>
    </w:p>
    <w:p w14:paraId="083AFD08"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jc w:val="both"/>
        <w:rPr>
          <w:rFonts w:cs="Times"/>
          <w:szCs w:val="20"/>
        </w:rPr>
      </w:pPr>
      <w:r w:rsidRPr="00676813">
        <w:rPr>
          <w:rFonts w:cs="Times"/>
          <w:szCs w:val="20"/>
        </w:rPr>
        <w:t xml:space="preserve">With this information, the high quantity of gas can be redistributed over the dwellings with low gas consumption, resulting in more realistic gas consumptions reflecting the gas used for heating. </w:t>
      </w:r>
    </w:p>
    <w:p w14:paraId="5A09D1A1" w14:textId="77777777" w:rsidR="008510E2" w:rsidRPr="00676813" w:rsidRDefault="008510E2" w:rsidP="008510E2">
      <w:pPr>
        <w:pBdr>
          <w:top w:val="single" w:sz="4" w:space="1" w:color="auto"/>
          <w:left w:val="single" w:sz="4" w:space="1" w:color="auto"/>
          <w:bottom w:val="single" w:sz="4" w:space="1" w:color="auto"/>
          <w:right w:val="single" w:sz="4" w:space="1" w:color="auto"/>
        </w:pBdr>
        <w:shd w:val="clear" w:color="auto" w:fill="F2F2F2" w:themeFill="background1" w:themeFillShade="F2"/>
        <w:spacing w:before="113" w:after="113" w:line="236" w:lineRule="atLeast"/>
        <w:jc w:val="both"/>
        <w:rPr>
          <w:rFonts w:ascii="Times" w:eastAsia="Times New Roman" w:hAnsi="Times" w:cs="Times"/>
          <w:sz w:val="20"/>
          <w:szCs w:val="20"/>
        </w:rPr>
      </w:pPr>
      <w:bookmarkStart w:id="4" w:name="_Ref343267724"/>
      <w:bookmarkStart w:id="5" w:name="_Ref343267729"/>
      <w:r w:rsidRPr="00676813">
        <w:rPr>
          <w:rFonts w:cs="Times"/>
          <w:szCs w:val="20"/>
        </w:rPr>
        <w:t>Knowing which dwellings make use of district heating is valuable primarily because it can explain why a particular area has very low gas consumption, which is valuable information for local policymakers. Identifying dwellings making use of district heating is relatively simple, and was achieved by matching the addresses in the register with a list received from the energy suppliers including all addresses receiving district heating.</w:t>
      </w:r>
    </w:p>
    <w:p w14:paraId="45BBF065" w14:textId="77777777" w:rsidR="008510E2" w:rsidRPr="00676813" w:rsidRDefault="008510E2" w:rsidP="008510E2">
      <w:p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rPr>
          <w:rFonts w:cs="Times"/>
          <w:i/>
          <w:szCs w:val="20"/>
        </w:rPr>
      </w:pPr>
      <w:r w:rsidRPr="00676813">
        <w:rPr>
          <w:rFonts w:cs="Times"/>
          <w:i/>
          <w:szCs w:val="20"/>
        </w:rPr>
        <w:t>The challenge of identifying businesses in dwellings</w:t>
      </w:r>
    </w:p>
    <w:p w14:paraId="5602238A" w14:textId="2FAFB5C7" w:rsidR="008510E2" w:rsidRPr="00676813" w:rsidRDefault="008510E2" w:rsidP="008510E2">
      <w:p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jc w:val="both"/>
        <w:rPr>
          <w:rFonts w:cs="Times"/>
          <w:szCs w:val="20"/>
        </w:rPr>
      </w:pPr>
      <w:r w:rsidRPr="00676813">
        <w:rPr>
          <w:rFonts w:cs="Times"/>
          <w:szCs w:val="20"/>
        </w:rPr>
        <w:t xml:space="preserve">In about 3% of the dwellings there is also a business, and Statistics Netherlands excludes </w:t>
      </w:r>
      <w:r w:rsidRPr="00676813">
        <w:rPr>
          <w:rFonts w:cs="Times"/>
          <w:szCs w:val="20"/>
        </w:rPr>
        <w:t>this from household consumption. Three separate steps were taken to identify these.</w:t>
      </w:r>
      <w:r w:rsidR="00EE7521">
        <w:rPr>
          <w:rFonts w:cs="Times"/>
          <w:szCs w:val="20"/>
        </w:rPr>
        <w:t xml:space="preserve"> </w:t>
      </w:r>
    </w:p>
    <w:p w14:paraId="2B1A3E99" w14:textId="77777777" w:rsidR="008510E2" w:rsidRPr="00676813" w:rsidRDefault="008510E2" w:rsidP="008510E2">
      <w:p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jc w:val="both"/>
        <w:rPr>
          <w:rFonts w:cs="Times"/>
          <w:szCs w:val="20"/>
        </w:rPr>
      </w:pPr>
      <w:r w:rsidRPr="00676813">
        <w:rPr>
          <w:rFonts w:cs="Times"/>
          <w:szCs w:val="20"/>
        </w:rPr>
        <w:t xml:space="preserve">First, the customer name for each connection initially attributed to dwellings was scanned with text recognition software. By looking for common combinations of letters or words usually designating a business (such as B.V. in the Netherlands), many connections could be attributed to business users. </w:t>
      </w:r>
    </w:p>
    <w:p w14:paraId="28E048C7" w14:textId="77777777" w:rsidR="008510E2" w:rsidRPr="00676813" w:rsidRDefault="008510E2" w:rsidP="008510E2">
      <w:p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jc w:val="both"/>
        <w:rPr>
          <w:rFonts w:cs="Times"/>
          <w:szCs w:val="20"/>
        </w:rPr>
      </w:pPr>
      <w:r w:rsidRPr="00676813">
        <w:rPr>
          <w:rFonts w:cs="Times"/>
          <w:szCs w:val="20"/>
        </w:rPr>
        <w:t>Second, each address was matched to another register, one used by local governments for the purpose of building taxation. This register contains information on the value of every building and crucially also a code designating the legal use/purpose of the building. The latter was used to identify business use.</w:t>
      </w:r>
    </w:p>
    <w:p w14:paraId="3F54C1ED" w14:textId="77777777" w:rsidR="008510E2" w:rsidRPr="00676813" w:rsidRDefault="008510E2" w:rsidP="008510E2">
      <w:p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jc w:val="both"/>
        <w:rPr>
          <w:rFonts w:cs="Times"/>
          <w:szCs w:val="20"/>
        </w:rPr>
      </w:pPr>
      <w:r w:rsidRPr="00676813">
        <w:rPr>
          <w:rFonts w:cs="Times"/>
          <w:szCs w:val="20"/>
        </w:rPr>
        <w:t xml:space="preserve">Third, each address was matched to a register with data of small shops, bars and restaurants, enabling even more businesses to be excluded. </w:t>
      </w:r>
    </w:p>
    <w:p w14:paraId="31A06D73" w14:textId="77777777" w:rsidR="006B674C" w:rsidRPr="00676813" w:rsidRDefault="006B674C" w:rsidP="008510E2">
      <w:pPr>
        <w:keepNext/>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jc w:val="center"/>
        <w:rPr>
          <w:rFonts w:cs="Times New Roman"/>
          <w:b/>
          <w:bCs/>
          <w:iCs/>
          <w:color w:val="00978B"/>
          <w:szCs w:val="20"/>
        </w:rPr>
      </w:pPr>
      <w:r w:rsidRPr="00676813">
        <w:rPr>
          <w:b/>
          <w:bCs/>
          <w:iCs/>
          <w:color w:val="00978B"/>
          <w:szCs w:val="20"/>
        </w:rPr>
        <w:t xml:space="preserve">Figure </w:t>
      </w:r>
      <w:bookmarkEnd w:id="4"/>
      <w:r w:rsidR="00A47D4C" w:rsidRPr="00676813">
        <w:rPr>
          <w:b/>
          <w:bCs/>
          <w:iCs/>
          <w:color w:val="00978B"/>
          <w:szCs w:val="20"/>
        </w:rPr>
        <w:t>2.</w:t>
      </w:r>
      <w:r w:rsidRPr="00676813">
        <w:rPr>
          <w:b/>
          <w:bCs/>
          <w:iCs/>
          <w:color w:val="00978B"/>
          <w:szCs w:val="20"/>
        </w:rPr>
        <w:t>.:</w:t>
      </w:r>
      <w:r w:rsidRPr="00676813">
        <w:rPr>
          <w:bCs/>
          <w:iCs/>
          <w:color w:val="00978B"/>
          <w:szCs w:val="20"/>
        </w:rPr>
        <w:t xml:space="preserve"> Identifying dwellings using block heating by coupling connections with the dwellings register using </w:t>
      </w:r>
      <w:bookmarkEnd w:id="5"/>
      <w:r w:rsidRPr="00676813">
        <w:rPr>
          <w:bCs/>
          <w:iCs/>
          <w:color w:val="00978B"/>
          <w:szCs w:val="20"/>
        </w:rPr>
        <w:t>Geographical Information Systems (GIS)</w:t>
      </w:r>
    </w:p>
    <w:p w14:paraId="7293B223" w14:textId="77777777" w:rsidR="006B674C" w:rsidRPr="00676813" w:rsidRDefault="006B674C" w:rsidP="008510E2">
      <w:pPr>
        <w:pStyle w:val="graph-table-maptitle"/>
        <w:keepNext/>
        <w:pBdr>
          <w:top w:val="single" w:sz="4" w:space="1" w:color="auto"/>
          <w:left w:val="single" w:sz="4" w:space="1" w:color="auto"/>
          <w:bottom w:val="single" w:sz="4" w:space="1" w:color="auto"/>
          <w:right w:val="single" w:sz="4" w:space="1" w:color="auto"/>
        </w:pBdr>
        <w:shd w:val="clear" w:color="auto" w:fill="F2F2F2" w:themeFill="background1" w:themeFillShade="F2"/>
        <w:jc w:val="center"/>
      </w:pPr>
      <w:r w:rsidRPr="00676813">
        <w:rPr>
          <w:noProof/>
          <w:lang w:eastAsia="en-GB"/>
        </w:rPr>
        <w:drawing>
          <wp:inline distT="0" distB="0" distL="0" distR="0" wp14:anchorId="137BB374" wp14:editId="0BA02A8E">
            <wp:extent cx="5029200" cy="2895600"/>
            <wp:effectExtent l="0" t="0" r="0" b="0"/>
            <wp:docPr id="2" name="Grafik 2" descr="naaml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67" descr="naamloos"/>
                    <pic:cNvPicPr>
                      <a:picLocks noChangeAspect="1" noChangeArrowheads="1"/>
                    </pic:cNvPicPr>
                  </pic:nvPicPr>
                  <pic:blipFill>
                    <a:blip r:embed="rId13" cstate="print">
                      <a:extLst>
                        <a:ext uri="{28A0092B-C50C-407E-A947-70E740481C1C}">
                          <a14:useLocalDpi xmlns:a14="http://schemas.microsoft.com/office/drawing/2010/main" val="0"/>
                        </a:ext>
                      </a:extLst>
                    </a:blip>
                    <a:srcRect r="2562" b="7159"/>
                    <a:stretch>
                      <a:fillRect/>
                    </a:stretch>
                  </pic:blipFill>
                  <pic:spPr bwMode="auto">
                    <a:xfrm>
                      <a:off x="0" y="0"/>
                      <a:ext cx="5029200" cy="2895600"/>
                    </a:xfrm>
                    <a:prstGeom prst="rect">
                      <a:avLst/>
                    </a:prstGeom>
                    <a:noFill/>
                    <a:ln>
                      <a:noFill/>
                    </a:ln>
                  </pic:spPr>
                </pic:pic>
              </a:graphicData>
            </a:graphic>
          </wp:inline>
        </w:drawing>
      </w:r>
    </w:p>
    <w:p w14:paraId="2725CEFE"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rPr>
          <w:rStyle w:val="graph-table-mapsourceChar"/>
          <w:rFonts w:ascii="Times New Roman" w:eastAsia="MS Mincho" w:hAnsi="Times New Roman"/>
          <w:sz w:val="13"/>
          <w:szCs w:val="13"/>
        </w:rPr>
      </w:pPr>
      <w:r w:rsidRPr="00676813">
        <w:rPr>
          <w:rStyle w:val="graph-table-mapsourceChar"/>
          <w:rFonts w:ascii="Times New Roman" w:eastAsia="MS Mincho" w:hAnsi="Times New Roman"/>
          <w:sz w:val="13"/>
          <w:szCs w:val="13"/>
        </w:rPr>
        <w:t>With information from the dwellings register, dwellings with zero gas consumption but within a building with one gas connection with a gas consumption many times that of a single household can be identified. These are then likely to share that single connection supplying the whole block with heat, and the gas consumption can be distributed among the individual households. This entire process can be automated.</w:t>
      </w:r>
    </w:p>
    <w:p w14:paraId="7082BDDD"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eastAsia="Cambria" w:cs="Times New Roman"/>
          <w:i/>
        </w:rPr>
      </w:pPr>
      <w:r w:rsidRPr="00676813">
        <w:rPr>
          <w:rStyle w:val="FootnoteReference"/>
          <w:i/>
          <w:sz w:val="13"/>
          <w:szCs w:val="13"/>
        </w:rPr>
        <w:t xml:space="preserve"> </w:t>
      </w:r>
      <w:r w:rsidRPr="00676813">
        <w:rPr>
          <w:i/>
          <w:sz w:val="13"/>
          <w:szCs w:val="13"/>
        </w:rPr>
        <w:t>Source: Statistics Netherlands 2012. (</w:t>
      </w:r>
      <w:proofErr w:type="gramStart"/>
      <w:r w:rsidRPr="00676813">
        <w:rPr>
          <w:i/>
          <w:sz w:val="13"/>
          <w:szCs w:val="13"/>
        </w:rPr>
        <w:t>unpublished</w:t>
      </w:r>
      <w:proofErr w:type="gramEnd"/>
      <w:r w:rsidRPr="00676813">
        <w:rPr>
          <w:i/>
          <w:sz w:val="13"/>
          <w:szCs w:val="13"/>
        </w:rPr>
        <w:t xml:space="preserve"> register information).</w:t>
      </w:r>
    </w:p>
    <w:p w14:paraId="62BAAE16"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rPr>
          <w:rFonts w:cs="Times New Roman"/>
          <w:i/>
          <w:szCs w:val="24"/>
        </w:rPr>
      </w:pPr>
      <w:r w:rsidRPr="00676813">
        <w:rPr>
          <w:i/>
        </w:rPr>
        <w:t>Plausibility checks</w:t>
      </w:r>
    </w:p>
    <w:p w14:paraId="2EB563ED" w14:textId="77777777" w:rsidR="006B674C" w:rsidRPr="00676813" w:rsidRDefault="006B674C" w:rsidP="00ED51C3">
      <w:pPr>
        <w:pBdr>
          <w:top w:val="single" w:sz="4" w:space="1" w:color="auto"/>
          <w:left w:val="single" w:sz="4" w:space="1" w:color="auto"/>
          <w:bottom w:val="single" w:sz="4" w:space="1" w:color="auto"/>
          <w:right w:val="single" w:sz="4" w:space="1" w:color="auto"/>
        </w:pBdr>
        <w:shd w:val="clear" w:color="auto" w:fill="F2F2F2" w:themeFill="background1" w:themeFillShade="F2"/>
        <w:spacing w:after="113" w:line="236" w:lineRule="atLeast"/>
        <w:jc w:val="both"/>
        <w:rPr>
          <w:rFonts w:cs="Times"/>
          <w:szCs w:val="20"/>
        </w:rPr>
      </w:pPr>
      <w:r w:rsidRPr="00676813">
        <w:rPr>
          <w:rFonts w:cs="Times"/>
          <w:szCs w:val="20"/>
        </w:rPr>
        <w:t xml:space="preserve">During the studies doubts arose whether matches with a very low or very high electricity or gas consumption had to be accepted as consumption by households. It happened for </w:t>
      </w:r>
      <w:r w:rsidRPr="00676813">
        <w:rPr>
          <w:rFonts w:cs="Times"/>
          <w:szCs w:val="20"/>
        </w:rPr>
        <w:lastRenderedPageBreak/>
        <w:t>example that the lighting of a bus shelter with a low kWh-consumption matched with an address in the dwellings register. And a very high consumption of electricity could be due to a business started in an ordinary house. It was therefore assumed that electricity consumption needed to be in a certain range in order to be considered as consumption of households. Initially a consumption greater than ten thousand kWh was excluded, but this was later adapted to exclude only the top 1% in each dwelling type category. No lower limit is used.</w:t>
      </w:r>
      <w:r w:rsidR="00E4472C" w:rsidRPr="00676813">
        <w:rPr>
          <w:rFonts w:cs="Times"/>
          <w:szCs w:val="20"/>
        </w:rPr>
        <w:t xml:space="preserve"> </w:t>
      </w:r>
      <w:r w:rsidRPr="00676813">
        <w:rPr>
          <w:rFonts w:cs="Times"/>
          <w:szCs w:val="20"/>
        </w:rPr>
        <w:t>For natural gas, consumption lower than 400 m3 would mostly be excluded, except for dwellings identified as users of district heating. As for electricity, the top 1% (by dwelling type) is excluded.</w:t>
      </w:r>
    </w:p>
    <w:p w14:paraId="42587A5E" w14:textId="77777777" w:rsidR="0026064F" w:rsidRDefault="0026064F" w:rsidP="0026064F">
      <w:pPr>
        <w:pStyle w:val="Heading1"/>
        <w:ind w:left="360"/>
      </w:pPr>
    </w:p>
    <w:p w14:paraId="7FC73E14" w14:textId="77777777" w:rsidR="000C67B5" w:rsidRPr="00676813" w:rsidRDefault="000C67B5" w:rsidP="001A22EF">
      <w:pPr>
        <w:pStyle w:val="Heading1"/>
        <w:numPr>
          <w:ilvl w:val="0"/>
          <w:numId w:val="23"/>
        </w:numPr>
      </w:pPr>
      <w:r w:rsidRPr="00676813">
        <w:t>Surveys</w:t>
      </w:r>
      <w:r w:rsidR="00984EC1" w:rsidRPr="00676813">
        <w:rPr>
          <w:vertAlign w:val="superscript"/>
        </w:rPr>
        <w:footnoteReference w:id="8"/>
      </w:r>
    </w:p>
    <w:p w14:paraId="1E9A4344" w14:textId="000D2CEE" w:rsidR="003F1D7E" w:rsidRDefault="00440A84" w:rsidP="00DE1D09">
      <w:r>
        <w:t>T</w:t>
      </w:r>
      <w:r w:rsidR="00EB5382" w:rsidRPr="00676813">
        <w:t xml:space="preserve">he terminus </w:t>
      </w:r>
      <w:r w:rsidR="007D5210" w:rsidRPr="00676813">
        <w:t>“</w:t>
      </w:r>
      <w:r w:rsidR="00EB5382" w:rsidRPr="00676813">
        <w:t>survey</w:t>
      </w:r>
      <w:r w:rsidR="007D5210" w:rsidRPr="00676813">
        <w:t>”</w:t>
      </w:r>
      <w:r w:rsidR="00EB5382" w:rsidRPr="00676813">
        <w:t xml:space="preserve"> covers a wide range </w:t>
      </w:r>
      <w:r w:rsidR="007D5210" w:rsidRPr="00676813">
        <w:t xml:space="preserve">of activities </w:t>
      </w:r>
      <w:r w:rsidR="00EB5382" w:rsidRPr="00676813">
        <w:t>starting with small scale data collection with only one respondent and very few data item</w:t>
      </w:r>
      <w:r w:rsidR="0087789A">
        <w:t>s</w:t>
      </w:r>
      <w:r w:rsidR="00EB5382" w:rsidRPr="00676813">
        <w:t xml:space="preserve"> e.g. </w:t>
      </w:r>
      <w:r w:rsidR="007D5210" w:rsidRPr="00676813">
        <w:t>p</w:t>
      </w:r>
      <w:r w:rsidR="00EB5382" w:rsidRPr="00676813">
        <w:t xml:space="preserve">roduction of coke oven coke in </w:t>
      </w:r>
      <w:r w:rsidR="00E90E5B" w:rsidRPr="00676813">
        <w:t>a country with only one coke oven operator</w:t>
      </w:r>
      <w:r w:rsidR="006B3E78">
        <w:t>, or</w:t>
      </w:r>
      <w:r w:rsidR="00E90E5B" w:rsidRPr="00676813">
        <w:t xml:space="preserve"> a comprehensive survey on final energy consumption. </w:t>
      </w:r>
    </w:p>
    <w:p w14:paraId="1F134BD1" w14:textId="6AB398E3" w:rsidR="003F1D7E" w:rsidRDefault="003F1D7E" w:rsidP="00DE1D09">
      <w:r>
        <w:t>In designing a new survey a number of considerations should be taken into account such as formulating simple questions, identifying</w:t>
      </w:r>
      <w:r w:rsidRPr="00676813">
        <w:t xml:space="preserve"> a clear structure for the questionnaire, </w:t>
      </w:r>
      <w:r>
        <w:t>providing incentives to</w:t>
      </w:r>
      <w:r w:rsidRPr="00676813">
        <w:t xml:space="preserve"> potential respondents to join the survey voluntarily (even if there is a legal obligation), </w:t>
      </w:r>
      <w:r>
        <w:t xml:space="preserve">possibly including </w:t>
      </w:r>
      <w:r w:rsidRPr="00676813">
        <w:t xml:space="preserve">data validation </w:t>
      </w:r>
      <w:r>
        <w:t xml:space="preserve">checks in </w:t>
      </w:r>
      <w:r w:rsidRPr="00676813">
        <w:t>the questionnaire (e.g. to ask physical quantities and the corresponding expenditures)</w:t>
      </w:r>
      <w:r w:rsidR="00475175">
        <w:t>,</w:t>
      </w:r>
      <w:r w:rsidRPr="00676813">
        <w:t xml:space="preserve"> etc.</w:t>
      </w:r>
      <w:r w:rsidR="00EE7521">
        <w:t xml:space="preserve"> </w:t>
      </w:r>
      <w:r>
        <w:t xml:space="preserve">While all these aspects are useful in the discussion of data sources for energy statistics, they are not addressed in this chapter: there is a vast literature on how to design a questionnaire and the reader is encouraged to review the </w:t>
      </w:r>
      <w:r w:rsidRPr="00902DA9">
        <w:rPr>
          <w:highlight w:val="yellow"/>
        </w:rPr>
        <w:t>XXX</w:t>
      </w:r>
      <w:r w:rsidR="00212EF0">
        <w:t>.</w:t>
      </w:r>
    </w:p>
    <w:p w14:paraId="6354B650" w14:textId="553119B2" w:rsidR="001E25E3" w:rsidRDefault="00FC3F6E" w:rsidP="001E25E3">
      <w:pPr>
        <w:jc w:val="both"/>
      </w:pPr>
      <w:r w:rsidRPr="00676813">
        <w:t xml:space="preserve">For </w:t>
      </w:r>
      <w:r w:rsidR="00936A1A" w:rsidRPr="00676813">
        <w:t xml:space="preserve">new surveys special attention has to be given to the units used. Units that </w:t>
      </w:r>
      <w:r w:rsidR="00465664">
        <w:t xml:space="preserve">are </w:t>
      </w:r>
      <w:r w:rsidR="003A186D" w:rsidRPr="00676813">
        <w:t>used in billing</w:t>
      </w:r>
      <w:r w:rsidR="00465664">
        <w:t>,</w:t>
      </w:r>
      <w:r w:rsidR="003A186D" w:rsidRPr="00676813">
        <w:t xml:space="preserve"> </w:t>
      </w:r>
      <w:r w:rsidR="00465664">
        <w:t>with which the</w:t>
      </w:r>
      <w:r w:rsidR="00936A1A" w:rsidRPr="00676813">
        <w:t xml:space="preserve"> respondents are familiar</w:t>
      </w:r>
      <w:r w:rsidR="00465664">
        <w:t>,</w:t>
      </w:r>
      <w:r w:rsidR="00936A1A" w:rsidRPr="00676813">
        <w:t xml:space="preserve"> should be preferred</w:t>
      </w:r>
      <w:r w:rsidR="004B299B">
        <w:t>,</w:t>
      </w:r>
      <w:r w:rsidR="00936A1A" w:rsidRPr="00676813">
        <w:t xml:space="preserve"> e.g. in case of gasoline litre instead of kilogram. In case</w:t>
      </w:r>
      <w:r w:rsidR="00C91E33">
        <w:t>s where</w:t>
      </w:r>
      <w:r w:rsidR="00936A1A" w:rsidRPr="00676813">
        <w:t xml:space="preserve"> different units are commonly used </w:t>
      </w:r>
      <w:r w:rsidR="00C91E33">
        <w:t>in</w:t>
      </w:r>
      <w:r w:rsidR="00C91E33" w:rsidRPr="00676813">
        <w:t xml:space="preserve"> </w:t>
      </w:r>
      <w:r w:rsidR="00936A1A" w:rsidRPr="00676813">
        <w:t xml:space="preserve">the markets </w:t>
      </w:r>
      <w:r w:rsidR="00953467" w:rsidRPr="00676813">
        <w:t>(</w:t>
      </w:r>
      <w:r w:rsidR="00936A1A" w:rsidRPr="00676813">
        <w:t xml:space="preserve">e.g. </w:t>
      </w:r>
      <w:proofErr w:type="spellStart"/>
      <w:r w:rsidR="00936A1A" w:rsidRPr="00676813">
        <w:t>stere</w:t>
      </w:r>
      <w:proofErr w:type="spellEnd"/>
      <w:r w:rsidR="00936A1A" w:rsidRPr="00676813">
        <w:t xml:space="preserve"> or kg in case of </w:t>
      </w:r>
      <w:proofErr w:type="spellStart"/>
      <w:r w:rsidR="001E25E3">
        <w:t>fuel</w:t>
      </w:r>
      <w:r w:rsidR="00936A1A" w:rsidRPr="00676813">
        <w:t>wood</w:t>
      </w:r>
      <w:proofErr w:type="spellEnd"/>
      <w:r w:rsidR="00953467" w:rsidRPr="00676813">
        <w:t>) the respondent should have the possibility to choose the unit e.g. by ticking a respective box.</w:t>
      </w:r>
      <w:r w:rsidR="00A03915" w:rsidRPr="00676813">
        <w:t xml:space="preserve"> The same method can be used to distinguish between gross and net expenditures for energy commodities</w:t>
      </w:r>
      <w:r w:rsidR="00A47D4C" w:rsidRPr="00676813">
        <w:t xml:space="preserve"> </w:t>
      </w:r>
      <w:r w:rsidR="00A56701">
        <w:t>as</w:t>
      </w:r>
      <w:r w:rsidR="00A56701" w:rsidRPr="00676813">
        <w:t xml:space="preserve"> </w:t>
      </w:r>
      <w:r w:rsidR="00A47D4C" w:rsidRPr="00676813">
        <w:t>demonstrated in</w:t>
      </w:r>
      <w:r w:rsidR="00A20D17" w:rsidRPr="00676813">
        <w:t xml:space="preserve"> the </w:t>
      </w:r>
      <w:r w:rsidR="001E25E3">
        <w:t>country example</w:t>
      </w:r>
      <w:r w:rsidR="00A20D17" w:rsidRPr="00676813">
        <w:t xml:space="preserve"> below.</w:t>
      </w:r>
      <w:r w:rsidR="00CF0DCE">
        <w:t xml:space="preserve"> </w:t>
      </w:r>
    </w:p>
    <w:p w14:paraId="43E308FC" w14:textId="77777777" w:rsidR="00CF0DCE" w:rsidRPr="00676813" w:rsidRDefault="001E25E3" w:rsidP="006027D1">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Pr>
          <w:b/>
        </w:rPr>
        <w:t>C</w:t>
      </w:r>
      <w:r w:rsidR="00CF0DCE" w:rsidRPr="00CF0DCE">
        <w:rPr>
          <w:b/>
        </w:rPr>
        <w:t>ountry example</w:t>
      </w:r>
      <w:r w:rsidR="00CF0DCE">
        <w:t xml:space="preserve"> for a well-accepted paper questionnaire by respondents used in Austria. The separation of distinct blocks with different colours assists the respondents to fill in the questionnaire correctly</w:t>
      </w:r>
    </w:p>
    <w:bookmarkStart w:id="6" w:name="_MON_1439815954"/>
    <w:bookmarkEnd w:id="6"/>
    <w:p w14:paraId="77DC7F50" w14:textId="77777777" w:rsidR="00CF7119" w:rsidRPr="00676813" w:rsidRDefault="006027D1" w:rsidP="001E25E3">
      <w:pPr>
        <w:pBdr>
          <w:top w:val="single" w:sz="4" w:space="1" w:color="auto"/>
          <w:left w:val="single" w:sz="4" w:space="4" w:color="auto"/>
          <w:bottom w:val="single" w:sz="4" w:space="1" w:color="auto"/>
          <w:right w:val="single" w:sz="4" w:space="31" w:color="auto"/>
        </w:pBdr>
        <w:shd w:val="clear" w:color="auto" w:fill="EEECE1" w:themeFill="background2"/>
        <w:ind w:left="-709"/>
        <w:jc w:val="both"/>
      </w:pPr>
      <w:r w:rsidRPr="00676813">
        <w:object w:dxaOrig="10737" w:dyaOrig="14217" w14:anchorId="1A8D5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pt;height:711pt" o:ole="">
            <v:imagedata r:id="rId14" o:title=""/>
          </v:shape>
          <o:OLEObject Type="Embed" ProgID="Word.Document.8" ShapeID="_x0000_i1025" DrawAspect="Content" ObjectID="_1459774171" r:id="rId15">
            <o:FieldCodes>\s</o:FieldCodes>
          </o:OLEObject>
        </w:object>
      </w:r>
      <w:r w:rsidR="00CF7119" w:rsidRPr="00676813">
        <w:t xml:space="preserve"> </w:t>
      </w:r>
    </w:p>
    <w:p w14:paraId="610D231C" w14:textId="07602229" w:rsidR="006027D1" w:rsidRDefault="006027D1" w:rsidP="006027D1">
      <w:pPr>
        <w:jc w:val="both"/>
      </w:pPr>
      <w:r w:rsidRPr="00676813">
        <w:lastRenderedPageBreak/>
        <w:t>For any case</w:t>
      </w:r>
      <w:r w:rsidR="0062479E">
        <w:t>s</w:t>
      </w:r>
      <w:r w:rsidRPr="00676813">
        <w:t xml:space="preserve"> </w:t>
      </w:r>
      <w:r w:rsidR="000E4359">
        <w:t xml:space="preserve">in which </w:t>
      </w:r>
      <w:r w:rsidRPr="00676813">
        <w:t>survey</w:t>
      </w:r>
      <w:r w:rsidR="0062479E">
        <w:t>s</w:t>
      </w:r>
      <w:r w:rsidRPr="00676813">
        <w:t xml:space="preserve"> </w:t>
      </w:r>
      <w:r w:rsidR="0062479E">
        <w:t>are</w:t>
      </w:r>
      <w:r w:rsidR="0062479E" w:rsidRPr="00676813">
        <w:t xml:space="preserve"> </w:t>
      </w:r>
      <w:r w:rsidRPr="00676813">
        <w:t>necessary</w:t>
      </w:r>
      <w:r w:rsidR="000E4359">
        <w:t>,</w:t>
      </w:r>
      <w:r w:rsidRPr="00676813">
        <w:t xml:space="preserve"> two possibilities exist:</w:t>
      </w:r>
    </w:p>
    <w:p w14:paraId="5008DD89" w14:textId="77777777" w:rsidR="00CF7119" w:rsidRPr="00676813" w:rsidRDefault="00CF7119" w:rsidP="00CF7119">
      <w:pPr>
        <w:pStyle w:val="ListParagraph"/>
        <w:numPr>
          <w:ilvl w:val="0"/>
          <w:numId w:val="5"/>
        </w:numPr>
      </w:pPr>
      <w:r w:rsidRPr="00676813">
        <w:t>Adding additional questions to an already existing survey</w:t>
      </w:r>
    </w:p>
    <w:p w14:paraId="7F27ADFA" w14:textId="77777777" w:rsidR="00CF7119" w:rsidRPr="00676813" w:rsidRDefault="00CF7119" w:rsidP="00CF7119">
      <w:pPr>
        <w:pStyle w:val="ListParagraph"/>
        <w:numPr>
          <w:ilvl w:val="0"/>
          <w:numId w:val="5"/>
        </w:numPr>
      </w:pPr>
      <w:r w:rsidRPr="00676813">
        <w:t>Implementing a new survey</w:t>
      </w:r>
    </w:p>
    <w:p w14:paraId="304A4E86" w14:textId="5376043E" w:rsidR="009437FB" w:rsidRPr="00676813" w:rsidRDefault="00DA5797" w:rsidP="009437FB">
      <w:r>
        <w:t>T</w:t>
      </w:r>
      <w:r w:rsidR="009437FB" w:rsidRPr="00676813">
        <w:t>here are</w:t>
      </w:r>
      <w:r w:rsidR="006E2D1F">
        <w:t xml:space="preserve"> also</w:t>
      </w:r>
      <w:r w:rsidR="009437FB" w:rsidRPr="00676813">
        <w:t xml:space="preserve"> some </w:t>
      </w:r>
      <w:r>
        <w:t xml:space="preserve">common </w:t>
      </w:r>
      <w:r w:rsidR="003670E6" w:rsidRPr="00676813">
        <w:t>rules</w:t>
      </w:r>
      <w:r w:rsidR="009437FB" w:rsidRPr="00676813">
        <w:t xml:space="preserve"> </w:t>
      </w:r>
      <w:r>
        <w:t xml:space="preserve">which </w:t>
      </w:r>
      <w:r w:rsidR="009437FB" w:rsidRPr="00676813">
        <w:t>energy statistician</w:t>
      </w:r>
      <w:r w:rsidR="006E2D1F">
        <w:t>s</w:t>
      </w:r>
      <w:r w:rsidR="009437FB" w:rsidRPr="00676813">
        <w:t xml:space="preserve"> should </w:t>
      </w:r>
      <w:r w:rsidR="0076289D">
        <w:t>recognize</w:t>
      </w:r>
      <w:r w:rsidR="009437FB" w:rsidRPr="00676813">
        <w:t>:</w:t>
      </w:r>
    </w:p>
    <w:p w14:paraId="2DB34A84" w14:textId="77777777" w:rsidR="009437FB" w:rsidRPr="00676813" w:rsidRDefault="003670E6" w:rsidP="001A22EF">
      <w:pPr>
        <w:pStyle w:val="ListParagraph"/>
        <w:numPr>
          <w:ilvl w:val="0"/>
          <w:numId w:val="6"/>
        </w:numPr>
      </w:pPr>
      <w:r w:rsidRPr="00676813">
        <w:t xml:space="preserve">Ask only the </w:t>
      </w:r>
      <w:r w:rsidRPr="00676813">
        <w:rPr>
          <w:b/>
        </w:rPr>
        <w:t>must have</w:t>
      </w:r>
      <w:r w:rsidRPr="00676813">
        <w:t xml:space="preserve"> and eliminate the </w:t>
      </w:r>
      <w:r w:rsidRPr="00676813">
        <w:rPr>
          <w:b/>
        </w:rPr>
        <w:t>nice to have</w:t>
      </w:r>
      <w:r w:rsidRPr="00676813">
        <w:t xml:space="preserve"> </w:t>
      </w:r>
    </w:p>
    <w:p w14:paraId="523E69A4" w14:textId="77777777" w:rsidR="003670E6" w:rsidRPr="00676813" w:rsidRDefault="003670E6" w:rsidP="001A22EF">
      <w:pPr>
        <w:pStyle w:val="ListParagraph"/>
        <w:numPr>
          <w:ilvl w:val="0"/>
          <w:numId w:val="6"/>
        </w:numPr>
      </w:pPr>
      <w:r w:rsidRPr="00676813">
        <w:t xml:space="preserve">Keep the questionnaires and questions </w:t>
      </w:r>
      <w:r w:rsidRPr="00676813">
        <w:rPr>
          <w:b/>
        </w:rPr>
        <w:t>as simple as possible</w:t>
      </w:r>
    </w:p>
    <w:p w14:paraId="3F67A18E" w14:textId="77777777" w:rsidR="003670E6" w:rsidRPr="00676813" w:rsidRDefault="003670E6" w:rsidP="001A22EF">
      <w:pPr>
        <w:pStyle w:val="ListParagraph"/>
        <w:numPr>
          <w:ilvl w:val="0"/>
          <w:numId w:val="6"/>
        </w:numPr>
      </w:pPr>
      <w:r w:rsidRPr="00676813">
        <w:t>Ask only questions the respondents can answer</w:t>
      </w:r>
    </w:p>
    <w:p w14:paraId="05AD8A6C" w14:textId="5EC208F9" w:rsidR="00CF7119" w:rsidRPr="00676813" w:rsidRDefault="00CF7119" w:rsidP="001A22EF">
      <w:pPr>
        <w:pStyle w:val="ListParagraph"/>
        <w:numPr>
          <w:ilvl w:val="0"/>
          <w:numId w:val="6"/>
        </w:numPr>
      </w:pPr>
      <w:r w:rsidRPr="00676813">
        <w:t xml:space="preserve">Give the respondents a </w:t>
      </w:r>
      <w:r w:rsidRPr="00676813">
        <w:rPr>
          <w:b/>
        </w:rPr>
        <w:t>comprehensive explanation</w:t>
      </w:r>
      <w:r w:rsidRPr="00676813">
        <w:t xml:space="preserve"> </w:t>
      </w:r>
      <w:r w:rsidR="000B6A46">
        <w:t xml:space="preserve">of </w:t>
      </w:r>
      <w:r w:rsidRPr="00676813">
        <w:t xml:space="preserve">why and </w:t>
      </w:r>
      <w:r w:rsidR="000B6A46">
        <w:t xml:space="preserve">for </w:t>
      </w:r>
      <w:r w:rsidRPr="00676813">
        <w:t>what the data is needed</w:t>
      </w:r>
      <w:r w:rsidR="00420BA4" w:rsidRPr="00676813">
        <w:t xml:space="preserve"> </w:t>
      </w:r>
    </w:p>
    <w:p w14:paraId="49FEF8A6" w14:textId="77777777" w:rsidR="00766422" w:rsidRPr="00676813" w:rsidRDefault="00766422" w:rsidP="001A22EF">
      <w:pPr>
        <w:pStyle w:val="ListParagraph"/>
        <w:numPr>
          <w:ilvl w:val="0"/>
          <w:numId w:val="15"/>
        </w:numPr>
      </w:pPr>
      <w:r w:rsidRPr="00676813">
        <w:t xml:space="preserve">Be comprehensive </w:t>
      </w:r>
      <w:r w:rsidRPr="00676813">
        <w:rPr>
          <w:b/>
        </w:rPr>
        <w:t>to fulfil all information</w:t>
      </w:r>
      <w:r w:rsidRPr="00676813">
        <w:t xml:space="preserve"> </w:t>
      </w:r>
      <w:r w:rsidRPr="00676813">
        <w:rPr>
          <w:b/>
        </w:rPr>
        <w:t>needs</w:t>
      </w:r>
      <w:r w:rsidRPr="00676813">
        <w:t xml:space="preserve"> e.g. to compile energy balances and energy accounts</w:t>
      </w:r>
    </w:p>
    <w:p w14:paraId="5595D5BD" w14:textId="11AD0933" w:rsidR="00420BA4" w:rsidRPr="00676813" w:rsidRDefault="00420BA4" w:rsidP="001A22EF">
      <w:pPr>
        <w:pStyle w:val="ListParagraph"/>
        <w:numPr>
          <w:ilvl w:val="0"/>
          <w:numId w:val="15"/>
        </w:numPr>
      </w:pPr>
      <w:r w:rsidRPr="00676813">
        <w:t xml:space="preserve">Use </w:t>
      </w:r>
      <w:r w:rsidRPr="00676813">
        <w:rPr>
          <w:b/>
        </w:rPr>
        <w:t>international classifications</w:t>
      </w:r>
      <w:r w:rsidRPr="00676813">
        <w:t xml:space="preserve"> as far as possible </w:t>
      </w:r>
      <w:r w:rsidR="00766422" w:rsidRPr="00676813">
        <w:t>(ISIC,</w:t>
      </w:r>
      <w:r w:rsidR="007919EB">
        <w:t xml:space="preserve"> </w:t>
      </w:r>
      <w:r w:rsidR="00766422" w:rsidRPr="00676813">
        <w:t>PRODCOM, CPA, CN)</w:t>
      </w:r>
    </w:p>
    <w:p w14:paraId="7035A0E7" w14:textId="11DB4516" w:rsidR="00766422" w:rsidRPr="00676813" w:rsidRDefault="00766422" w:rsidP="001A22EF">
      <w:pPr>
        <w:pStyle w:val="ListParagraph"/>
        <w:numPr>
          <w:ilvl w:val="0"/>
          <w:numId w:val="15"/>
        </w:numPr>
      </w:pPr>
      <w:r w:rsidRPr="00676813">
        <w:t xml:space="preserve">Implement elements for </w:t>
      </w:r>
      <w:r w:rsidRPr="00676813">
        <w:rPr>
          <w:b/>
        </w:rPr>
        <w:t>data validation</w:t>
      </w:r>
      <w:r w:rsidRPr="00676813">
        <w:t xml:space="preserve"> e.g. ask quantities and expenditures or revenues, heated and cooled area in m² </w:t>
      </w:r>
    </w:p>
    <w:p w14:paraId="546AB7AD" w14:textId="23F62959" w:rsidR="00D20320" w:rsidRPr="00676813" w:rsidRDefault="00D20320" w:rsidP="00557E06">
      <w:pPr>
        <w:jc w:val="both"/>
      </w:pPr>
      <w:r w:rsidRPr="00676813">
        <w:t xml:space="preserve">Supply surveys are </w:t>
      </w:r>
      <w:r w:rsidR="00C54875" w:rsidRPr="00676813">
        <w:t xml:space="preserve">normally </w:t>
      </w:r>
      <w:r w:rsidRPr="00676813">
        <w:t xml:space="preserve">fuel specific surveys, </w:t>
      </w:r>
      <w:r w:rsidR="007258B6">
        <w:t>which</w:t>
      </w:r>
      <w:r w:rsidR="007258B6" w:rsidRPr="00676813">
        <w:t xml:space="preserve"> </w:t>
      </w:r>
      <w:r w:rsidRPr="00676813">
        <w:t xml:space="preserve">means they focus on a specific fuel e.g. electricity or on a closely linked fuel group characterised by a specific supplier e.g. refineries for oil products or coal mines for coal. </w:t>
      </w:r>
    </w:p>
    <w:p w14:paraId="1D154822" w14:textId="610966CB" w:rsidR="00D20320" w:rsidRPr="00676813" w:rsidRDefault="00D20320" w:rsidP="00D20320">
      <w:pPr>
        <w:jc w:val="both"/>
      </w:pPr>
      <w:r w:rsidRPr="00676813">
        <w:t>There are at least three good reasons</w:t>
      </w:r>
      <w:r w:rsidR="007258B6">
        <w:t xml:space="preserve"> to</w:t>
      </w:r>
      <w:r w:rsidRPr="00676813">
        <w:t xml:space="preserve"> ask suppliers</w:t>
      </w:r>
      <w:r w:rsidR="007258B6">
        <w:t xml:space="preserve"> for data,</w:t>
      </w:r>
      <w:r w:rsidRPr="00676813">
        <w:t xml:space="preserve"> whenever it is legally possible and the information </w:t>
      </w:r>
      <w:r w:rsidR="007258B6">
        <w:t xml:space="preserve">requested </w:t>
      </w:r>
      <w:r w:rsidRPr="00676813">
        <w:t>can be provided:</w:t>
      </w:r>
    </w:p>
    <w:p w14:paraId="547D037D" w14:textId="77777777" w:rsidR="00D20320" w:rsidRPr="00676813" w:rsidRDefault="00D20320" w:rsidP="001A22EF">
      <w:pPr>
        <w:pStyle w:val="ListParagraph"/>
        <w:numPr>
          <w:ilvl w:val="0"/>
          <w:numId w:val="16"/>
        </w:numPr>
        <w:jc w:val="both"/>
      </w:pPr>
      <w:r w:rsidRPr="00676813">
        <w:t>The respondents are familiar with the topic</w:t>
      </w:r>
    </w:p>
    <w:p w14:paraId="5AFBA2A8" w14:textId="40B95143" w:rsidR="00D20320" w:rsidRPr="00676813" w:rsidRDefault="00D20320" w:rsidP="001A22EF">
      <w:pPr>
        <w:pStyle w:val="ListParagraph"/>
        <w:numPr>
          <w:ilvl w:val="0"/>
          <w:numId w:val="16"/>
        </w:numPr>
        <w:jc w:val="both"/>
      </w:pPr>
      <w:r w:rsidRPr="00676813">
        <w:t xml:space="preserve">Data are </w:t>
      </w:r>
      <w:r w:rsidR="00A528A6" w:rsidRPr="00676813">
        <w:t xml:space="preserve">often </w:t>
      </w:r>
      <w:r w:rsidRPr="00676813">
        <w:t>available in business registers</w:t>
      </w:r>
    </w:p>
    <w:p w14:paraId="029BF57B" w14:textId="77777777" w:rsidR="00D20320" w:rsidRPr="00676813" w:rsidRDefault="00D20320" w:rsidP="001A22EF">
      <w:pPr>
        <w:pStyle w:val="ListParagraph"/>
        <w:numPr>
          <w:ilvl w:val="0"/>
          <w:numId w:val="16"/>
        </w:numPr>
        <w:jc w:val="both"/>
      </w:pPr>
      <w:r w:rsidRPr="00676813">
        <w:t>The small population makes surveys cheaper</w:t>
      </w:r>
    </w:p>
    <w:p w14:paraId="3425191F" w14:textId="77777777" w:rsidR="00FF61B3" w:rsidRPr="00676813" w:rsidRDefault="00FF61B3" w:rsidP="00557E06">
      <w:pPr>
        <w:jc w:val="both"/>
      </w:pPr>
      <w:r w:rsidRPr="00676813">
        <w:t>One problem linked with supply surveys is the danger of double counting due to resellers. Therefore questions on sales have to focus clearly on sales to final consumers.</w:t>
      </w:r>
      <w:r w:rsidR="008F1267" w:rsidRPr="00676813">
        <w:rPr>
          <w:b/>
        </w:rPr>
        <w:t xml:space="preserve"> </w:t>
      </w:r>
      <w:r w:rsidR="008F1267" w:rsidRPr="00CF0DCE">
        <w:rPr>
          <w:b/>
          <w:highlight w:val="yellow"/>
        </w:rPr>
        <w:t>Country example is needed!</w:t>
      </w:r>
    </w:p>
    <w:p w14:paraId="0E417EE7" w14:textId="623F311D" w:rsidR="00FF61B3" w:rsidRPr="00676813" w:rsidRDefault="00E936F6" w:rsidP="00557E06">
      <w:pPr>
        <w:jc w:val="both"/>
      </w:pPr>
      <w:r w:rsidRPr="00676813">
        <w:t>If more detailed information (e.g</w:t>
      </w:r>
      <w:r w:rsidR="00FC61B3" w:rsidRPr="00676813">
        <w:t>.</w:t>
      </w:r>
      <w:r w:rsidRPr="00676813">
        <w:t xml:space="preserve"> consumption by economic sectors or by purpose) is </w:t>
      </w:r>
      <w:r w:rsidRPr="00676813">
        <w:t xml:space="preserve">needed, suppliers – normally energy industries </w:t>
      </w:r>
      <w:r w:rsidR="0042306A">
        <w:t>–</w:t>
      </w:r>
      <w:r w:rsidRPr="00676813">
        <w:t xml:space="preserve"> have no sufficient data</w:t>
      </w:r>
      <w:r w:rsidR="00151F9F" w:rsidRPr="00676813">
        <w:t xml:space="preserve"> </w:t>
      </w:r>
      <w:r w:rsidRPr="00676813">
        <w:t xml:space="preserve">and consumer </w:t>
      </w:r>
      <w:r w:rsidRPr="00676813">
        <w:t xml:space="preserve">surveys have to be conducted. </w:t>
      </w:r>
    </w:p>
    <w:p w14:paraId="01AE16B9" w14:textId="77777777" w:rsidR="00A461BA" w:rsidRDefault="00A461BA" w:rsidP="00557E06">
      <w:pPr>
        <w:jc w:val="both"/>
      </w:pPr>
      <w:r w:rsidRPr="00676813">
        <w:t xml:space="preserve">Consumption surveys typically focus on all energy carriers used by the specific target group the survey focus on e.g. manufacturing industry or private households. </w:t>
      </w:r>
      <w:r w:rsidR="008F1267" w:rsidRPr="00CF0DCE">
        <w:rPr>
          <w:b/>
          <w:highlight w:val="yellow"/>
        </w:rPr>
        <w:t>Country example is needed!</w:t>
      </w:r>
      <w:r w:rsidR="008F1267" w:rsidRPr="00676813">
        <w:rPr>
          <w:b/>
        </w:rPr>
        <w:t xml:space="preserve"> </w:t>
      </w:r>
      <w:r w:rsidRPr="00676813">
        <w:t>Exceptions are detailed surveys on consumption purposes and consumption pattern of electricity in a specific sector. Such detailed data collection is restricted because it’s extremely expensive due to its complexity and the high</w:t>
      </w:r>
      <w:r w:rsidR="00E377C6" w:rsidRPr="00676813">
        <w:t xml:space="preserve"> effort of respondents care needed.</w:t>
      </w:r>
    </w:p>
    <w:p w14:paraId="23207E18" w14:textId="58880C6C" w:rsidR="0042306A" w:rsidRDefault="0042306A" w:rsidP="0042306A">
      <w:r w:rsidRPr="002C2130">
        <w:t xml:space="preserve">Energy use for </w:t>
      </w:r>
      <w:r w:rsidRPr="001E62B6">
        <w:rPr>
          <w:i/>
        </w:rPr>
        <w:t>households</w:t>
      </w:r>
      <w:r w:rsidRPr="002C2130">
        <w:t xml:space="preserve"> </w:t>
      </w:r>
      <w:r>
        <w:t xml:space="preserve">may come </w:t>
      </w:r>
      <w:r w:rsidRPr="002C2130">
        <w:t>from energy suppliers (oil, electricity distributors etc.) or from household surveys. Results from the sample surveys could be grossed up by using population figures for households (if this exists) or for the total number of persons. Energy surveys for households are in some countries carried out as an additional survey to the household budget studies. Households often have reliable information on energy costs, but not on their energy use in physical units (</w:t>
      </w:r>
      <w:r>
        <w:t xml:space="preserve">e.g. </w:t>
      </w:r>
      <w:r w:rsidRPr="002C2130">
        <w:t xml:space="preserve">kWh). Asking in the survey for receipts from the energy suppliers could therefore be necessary. </w:t>
      </w:r>
    </w:p>
    <w:p w14:paraId="0EAA7088" w14:textId="77777777" w:rsidR="008F1267" w:rsidRPr="00676813" w:rsidRDefault="008F1267" w:rsidP="008F1267">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676813">
        <w:t>Country example: Austria: Electricity and natural gas consumption of households by purpose</w:t>
      </w:r>
    </w:p>
    <w:p w14:paraId="3BABC329" w14:textId="77777777" w:rsidR="008F1267" w:rsidRPr="00676813" w:rsidRDefault="008F1267" w:rsidP="008F1267">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676813">
        <w:t xml:space="preserve">The survey "Electricity and natural gas consumption of households by purpose" is a primary data collection. The voluntary survey covers the consumption of electricity and natural gas in </w:t>
      </w:r>
      <w:r w:rsidRPr="00676813">
        <w:lastRenderedPageBreak/>
        <w:t>private households, broken down by consumption purpose. With five questionnaires, the households recorded data about their electrical appliances equipment as well as data on space heating, water heating and lighting in three runs. A portable energy cost meter was given to the contributing households to measure the specific electrical consumption, and an allowance of 100 € was paid to every household, which filled in the five questionnaires. One third of the data was sent by email and two thirds were transferred by regular mail.</w:t>
      </w:r>
    </w:p>
    <w:p w14:paraId="476ADDC0" w14:textId="77777777" w:rsidR="00E377C6" w:rsidRPr="00676813" w:rsidRDefault="00E377C6" w:rsidP="00557E06">
      <w:pPr>
        <w:jc w:val="both"/>
      </w:pPr>
    </w:p>
    <w:p w14:paraId="69C9F121" w14:textId="2FEF29EA" w:rsidR="00D93145" w:rsidRPr="00676813" w:rsidRDefault="00D93145" w:rsidP="00557E06">
      <w:pPr>
        <w:jc w:val="both"/>
      </w:pPr>
      <w:r w:rsidRPr="00676813">
        <w:t xml:space="preserve">If sector specific energy consumption surveys are planned it is helpful to </w:t>
      </w:r>
      <w:r w:rsidR="00505778" w:rsidRPr="00676813">
        <w:t>k</w:t>
      </w:r>
      <w:r w:rsidRPr="00676813">
        <w:t xml:space="preserve">now the main end uses driving the consumption </w:t>
      </w:r>
      <w:r w:rsidR="007B7E63" w:rsidRPr="00676813">
        <w:t xml:space="preserve">and the frequently used fuels </w:t>
      </w:r>
      <w:r w:rsidRPr="00676813">
        <w:t>of the respective sector. Th</w:t>
      </w:r>
      <w:r w:rsidR="00505778" w:rsidRPr="00676813">
        <w:t>e</w:t>
      </w:r>
      <w:r w:rsidRPr="00676813">
        <w:t>s</w:t>
      </w:r>
      <w:r w:rsidR="00505778" w:rsidRPr="00676813">
        <w:t>e</w:t>
      </w:r>
      <w:r w:rsidRPr="00676813">
        <w:t xml:space="preserve"> </w:t>
      </w:r>
      <w:r w:rsidRPr="00676813">
        <w:t xml:space="preserve">drivers can be widely differ from sector to sector and region to region. </w:t>
      </w:r>
      <w:r w:rsidR="009D1089">
        <w:t xml:space="preserve">For example, </w:t>
      </w:r>
      <w:r w:rsidR="00505778" w:rsidRPr="00676813">
        <w:t xml:space="preserve">in a Central European Country some 80% of energy consumption of manufacturing industry </w:t>
      </w:r>
      <w:r w:rsidR="00505778" w:rsidRPr="00676813">
        <w:t xml:space="preserve">is used for production while a similar share in the residential sector is used for space heating. In a country with tropical climate the industry sector may be similar but the main drivers for private households are completely different. </w:t>
      </w:r>
      <w:r w:rsidR="00C108FB">
        <w:t xml:space="preserve">For </w:t>
      </w:r>
      <w:r w:rsidR="00C108FB" w:rsidRPr="00C108FB">
        <w:rPr>
          <w:b/>
        </w:rPr>
        <w:t>c</w:t>
      </w:r>
      <w:r w:rsidR="00505778" w:rsidRPr="00C108FB">
        <w:rPr>
          <w:b/>
        </w:rPr>
        <w:t>o</w:t>
      </w:r>
      <w:r w:rsidR="00505778" w:rsidRPr="00676813">
        <w:rPr>
          <w:b/>
        </w:rPr>
        <w:t xml:space="preserve">untry example </w:t>
      </w:r>
      <w:r w:rsidR="00C108FB">
        <w:rPr>
          <w:b/>
        </w:rPr>
        <w:t>of India</w:t>
      </w:r>
      <w:r w:rsidR="007B7E63" w:rsidRPr="00676813">
        <w:rPr>
          <w:b/>
        </w:rPr>
        <w:t xml:space="preserve"> </w:t>
      </w:r>
      <w:r w:rsidR="00C108FB">
        <w:rPr>
          <w:b/>
        </w:rPr>
        <w:t xml:space="preserve">see </w:t>
      </w:r>
      <w:hyperlink r:id="rId16" w:history="1">
        <w:r w:rsidR="00C108FB" w:rsidRPr="00B947FC">
          <w:rPr>
            <w:rStyle w:val="Hyperlink"/>
            <w:rFonts w:ascii="Arial" w:hAnsi="Arial" w:cs="Arial"/>
          </w:rPr>
          <w:t>http://www.indiaenvironmentportal.org.in/files/file/Energy%20Sources%20of%20Indian%20Households.pdf</w:t>
        </w:r>
      </w:hyperlink>
    </w:p>
    <w:p w14:paraId="03346BCA" w14:textId="21E4926A" w:rsidR="007F2822" w:rsidRPr="00676813" w:rsidRDefault="00E936F6" w:rsidP="00557E06">
      <w:pPr>
        <w:jc w:val="both"/>
      </w:pPr>
      <w:r w:rsidRPr="00676813">
        <w:t xml:space="preserve">If results from both </w:t>
      </w:r>
      <w:r w:rsidR="009D1089">
        <w:t xml:space="preserve">supply and consumption </w:t>
      </w:r>
      <w:r w:rsidRPr="00676813">
        <w:t xml:space="preserve">surveys are available, their comparison </w:t>
      </w:r>
      <w:r w:rsidRPr="00676813">
        <w:t xml:space="preserve">is a good instrument for data validation and verification. This normally is the case for all traded energy carriers and is of outstanding importance for compiling energy balances and energy </w:t>
      </w:r>
      <w:r w:rsidRPr="00676813">
        <w:t xml:space="preserve">accounts. </w:t>
      </w:r>
      <w:r w:rsidR="00FF61B3" w:rsidRPr="00676813">
        <w:t>Fossil fuels like oil, coal and natural gas</w:t>
      </w:r>
      <w:r w:rsidR="00507922">
        <w:t>,</w:t>
      </w:r>
      <w:r w:rsidR="00FF61B3" w:rsidRPr="00676813">
        <w:t xml:space="preserve"> as well as electricity and traded heat</w:t>
      </w:r>
      <w:r w:rsidR="00507922">
        <w:t>,</w:t>
      </w:r>
      <w:r w:rsidR="00FF61B3" w:rsidRPr="00676813">
        <w:t xml:space="preserve"> can </w:t>
      </w:r>
      <w:r w:rsidR="00FF61B3" w:rsidRPr="00676813">
        <w:t xml:space="preserve">be checked sufficiently in this way. </w:t>
      </w:r>
    </w:p>
    <w:p w14:paraId="0D17CDF9" w14:textId="1926104A" w:rsidR="00FF61B3" w:rsidRPr="00676813" w:rsidRDefault="00B775EC" w:rsidP="006277E7">
      <w:pPr>
        <w:jc w:val="both"/>
      </w:pPr>
      <w:r w:rsidRPr="00676813">
        <w:t>For n</w:t>
      </w:r>
      <w:r w:rsidR="00FF61B3" w:rsidRPr="00676813">
        <w:t xml:space="preserve">on-traded </w:t>
      </w:r>
      <w:r w:rsidRPr="00676813">
        <w:t>or on informal (grey) markets</w:t>
      </w:r>
      <w:r w:rsidR="00AB3C6C">
        <w:t>,</w:t>
      </w:r>
      <w:r w:rsidRPr="00676813">
        <w:t xml:space="preserve"> traded </w:t>
      </w:r>
      <w:r w:rsidR="00FF61B3" w:rsidRPr="00676813">
        <w:t xml:space="preserve">energy carriers </w:t>
      </w:r>
      <w:r w:rsidRPr="00676813">
        <w:t>like biomass (e.g. wood, bagasse or dung) used by private households</w:t>
      </w:r>
      <w:r w:rsidR="00AB3C6C">
        <w:t>,</w:t>
      </w:r>
      <w:r w:rsidRPr="00676813">
        <w:t xml:space="preserve"> or energetically used residuals from production processes of manufacturing industries</w:t>
      </w:r>
      <w:r w:rsidR="00AB3C6C">
        <w:t>,</w:t>
      </w:r>
      <w:r w:rsidRPr="00676813">
        <w:t xml:space="preserve"> information is available only from consumer surveys. A further disadvantage of </w:t>
      </w:r>
      <w:r w:rsidR="00012C8F">
        <w:t>these</w:t>
      </w:r>
      <w:r w:rsidR="00012C8F" w:rsidRPr="00676813">
        <w:t xml:space="preserve"> </w:t>
      </w:r>
      <w:r w:rsidRPr="00676813">
        <w:t>kind</w:t>
      </w:r>
      <w:r w:rsidR="00012C8F">
        <w:t>s</w:t>
      </w:r>
      <w:r w:rsidRPr="00676813">
        <w:t xml:space="preserve"> of fuels </w:t>
      </w:r>
      <w:r w:rsidR="00FC61B3" w:rsidRPr="00676813">
        <w:t xml:space="preserve">is </w:t>
      </w:r>
      <w:r w:rsidRPr="00676813">
        <w:t>t</w:t>
      </w:r>
      <w:r w:rsidR="00FC61B3" w:rsidRPr="00676813">
        <w:t xml:space="preserve">heir </w:t>
      </w:r>
      <w:r w:rsidR="007D7E47">
        <w:t>heterogeneous</w:t>
      </w:r>
      <w:r w:rsidR="007D7E47" w:rsidRPr="00676813">
        <w:t xml:space="preserve"> </w:t>
      </w:r>
      <w:r w:rsidR="00FC61B3" w:rsidRPr="00676813">
        <w:t xml:space="preserve">composition and water content, which </w:t>
      </w:r>
      <w:r w:rsidR="00B947FC">
        <w:t xml:space="preserve">can </w:t>
      </w:r>
      <w:r w:rsidR="00FC61B3" w:rsidRPr="00676813">
        <w:t>result in widely differing energy content</w:t>
      </w:r>
      <w:r w:rsidR="00B947FC">
        <w:t>s</w:t>
      </w:r>
      <w:r w:rsidR="00FC61B3" w:rsidRPr="00676813">
        <w:t xml:space="preserve">. </w:t>
      </w:r>
      <w:r w:rsidR="003B4AC8">
        <w:t>This</w:t>
      </w:r>
      <w:r w:rsidR="003B4AC8" w:rsidRPr="00676813">
        <w:t xml:space="preserve"> </w:t>
      </w:r>
      <w:r w:rsidR="00FC61B3" w:rsidRPr="00676813">
        <w:t xml:space="preserve">means that the collection of data with sufficient quality for these fuels is much more difficult. </w:t>
      </w:r>
      <w:r w:rsidR="00C108FB">
        <w:t xml:space="preserve">For a guidance concerning </w:t>
      </w:r>
      <w:r w:rsidR="00A07907">
        <w:t>wood fuel</w:t>
      </w:r>
      <w:r w:rsidR="00C108FB">
        <w:t xml:space="preserve"> surveys given by </w:t>
      </w:r>
      <w:r w:rsidR="00C108FB">
        <w:t xml:space="preserve">FAO see </w:t>
      </w:r>
      <w:hyperlink r:id="rId17" w:history="1">
        <w:r w:rsidR="00C108FB" w:rsidRPr="00B947FC">
          <w:rPr>
            <w:rStyle w:val="Hyperlink"/>
            <w:rFonts w:ascii="Arial" w:hAnsi="Arial" w:cs="Arial"/>
          </w:rPr>
          <w:t>http://www.fao.org/docrep/005/Y3779E/Y3779E00.HTM</w:t>
        </w:r>
      </w:hyperlink>
    </w:p>
    <w:p w14:paraId="654575AA" w14:textId="1FA45F7A" w:rsidR="0067422B" w:rsidRDefault="0067422B" w:rsidP="00557E06">
      <w:pPr>
        <w:jc w:val="both"/>
      </w:pPr>
      <w:r w:rsidRPr="00676813">
        <w:t xml:space="preserve">A detailed description of the problems linked to </w:t>
      </w:r>
      <w:proofErr w:type="spellStart"/>
      <w:r w:rsidRPr="00676813">
        <w:t>fuelwood</w:t>
      </w:r>
      <w:proofErr w:type="spellEnd"/>
      <w:r w:rsidRPr="00676813">
        <w:t xml:space="preserve"> and potential solutions</w:t>
      </w:r>
      <w:r w:rsidR="007D0BA1">
        <w:t xml:space="preserve"> are</w:t>
      </w:r>
      <w:r w:rsidRPr="00676813">
        <w:t xml:space="preserve"> provide</w:t>
      </w:r>
      <w:r w:rsidR="007D0BA1">
        <w:t>d in</w:t>
      </w:r>
      <w:r w:rsidRPr="00676813">
        <w:t xml:space="preserve"> the “</w:t>
      </w:r>
      <w:hyperlink r:id="rId18" w:history="1">
        <w:r w:rsidRPr="00B947FC">
          <w:rPr>
            <w:rStyle w:val="Hyperlink"/>
            <w:rFonts w:ascii="Arial" w:hAnsi="Arial" w:cs="Arial"/>
          </w:rPr>
          <w:t>Quality standard for statistics on wood fuel consumption of households</w:t>
        </w:r>
      </w:hyperlink>
      <w:r w:rsidRPr="00676813">
        <w:t xml:space="preserve">” developed by Working group 2: Calculation Methodology of the Concerted Action on Renewable Energy </w:t>
      </w:r>
      <w:r w:rsidRPr="00676813">
        <w:t>Sources (CA-RES).</w:t>
      </w:r>
    </w:p>
    <w:p w14:paraId="528074C3" w14:textId="4FC68C17" w:rsidR="00C42839" w:rsidRPr="00676813" w:rsidRDefault="00C42839" w:rsidP="00B947FC">
      <w:r>
        <w:t>In gathering data on stocks, it is important to note that stocks may be held</w:t>
      </w:r>
      <w:r w:rsidRPr="002C2130">
        <w:t xml:space="preserve"> by </w:t>
      </w:r>
      <w:r>
        <w:t xml:space="preserve">producers, importers, governments, industries, and other </w:t>
      </w:r>
      <w:r w:rsidRPr="002C2130">
        <w:t xml:space="preserve">consumers. </w:t>
      </w:r>
      <w:r w:rsidR="00580A63">
        <w:t>However, it may</w:t>
      </w:r>
      <w:r w:rsidRPr="002C2130">
        <w:t xml:space="preserve"> not </w:t>
      </w:r>
      <w:r w:rsidR="00580A63">
        <w:t xml:space="preserve">be </w:t>
      </w:r>
      <w:r w:rsidRPr="002C2130">
        <w:t xml:space="preserve">possible to collect stock data from </w:t>
      </w:r>
      <w:r>
        <w:t xml:space="preserve">all </w:t>
      </w:r>
      <w:r w:rsidRPr="002C2130">
        <w:t>consumer</w:t>
      </w:r>
      <w:r>
        <w:t>s</w:t>
      </w:r>
      <w:r w:rsidR="00580A63">
        <w:t xml:space="preserve">. Since it is often difficult to measure the stock level and stock changes held by consumers, stock changes should at least </w:t>
      </w:r>
      <w:r w:rsidRPr="002C2130">
        <w:t>be collected from large producers, such as oil companies and refineries</w:t>
      </w:r>
      <w:r>
        <w:t xml:space="preserve">. Stocks for coal, coke and petroleum coke could also be collected </w:t>
      </w:r>
      <w:r w:rsidRPr="002C2130">
        <w:t>from large industrial consumers of coal</w:t>
      </w:r>
      <w:r>
        <w:t xml:space="preserve">. </w:t>
      </w:r>
    </w:p>
    <w:p w14:paraId="34BFF209" w14:textId="3691E28D" w:rsidR="00C419F7" w:rsidRPr="00676813" w:rsidRDefault="009B5EE8" w:rsidP="00557E06">
      <w:pPr>
        <w:jc w:val="both"/>
      </w:pPr>
      <w:r>
        <w:t xml:space="preserve">When </w:t>
      </w:r>
      <w:r w:rsidR="00C419F7" w:rsidRPr="00676813">
        <w:t>surveying data on energy prices</w:t>
      </w:r>
      <w:r>
        <w:t>,</w:t>
      </w:r>
      <w:r w:rsidR="00C419F7" w:rsidRPr="00676813">
        <w:t xml:space="preserve"> it </w:t>
      </w:r>
      <w:r>
        <w:t>should</w:t>
      </w:r>
      <w:r w:rsidR="00C419F7" w:rsidRPr="00676813">
        <w:t xml:space="preserve"> be </w:t>
      </w:r>
      <w:r>
        <w:t xml:space="preserve">noted </w:t>
      </w:r>
      <w:r w:rsidR="00C419F7" w:rsidRPr="00676813">
        <w:t>if the prices have to be reported on a net or gross bas</w:t>
      </w:r>
      <w:r>
        <w:t>is,</w:t>
      </w:r>
      <w:r w:rsidR="00C419F7" w:rsidRPr="00676813">
        <w:t xml:space="preserve"> and which price components have to be reported separately if </w:t>
      </w:r>
      <w:r>
        <w:t xml:space="preserve">necessary </w:t>
      </w:r>
      <w:r w:rsidR="00F526BD" w:rsidRPr="00676813">
        <w:t>(</w:t>
      </w:r>
      <w:r w:rsidR="00C419F7" w:rsidRPr="00676813">
        <w:t>e.g.</w:t>
      </w:r>
      <w:r w:rsidR="00F526BD" w:rsidRPr="00676813">
        <w:t xml:space="preserve"> fuel specific taxes,</w:t>
      </w:r>
      <w:r w:rsidR="00C419F7" w:rsidRPr="00676813">
        <w:t xml:space="preserve"> recoverable taxes, network fees, metering fees</w:t>
      </w:r>
      <w:r w:rsidR="00F526BD" w:rsidRPr="00676813">
        <w:t>)</w:t>
      </w:r>
      <w:r w:rsidR="006E2960" w:rsidRPr="00676813">
        <w:t xml:space="preserve">. </w:t>
      </w:r>
      <w:r w:rsidR="00D93145" w:rsidRPr="00676813">
        <w:t>Furthermore</w:t>
      </w:r>
      <w:r w:rsidR="006E2960" w:rsidRPr="00676813">
        <w:t xml:space="preserve"> it makes sense to focus of specific energy carriers e.g. for electricity</w:t>
      </w:r>
      <w:r w:rsidR="00C419F7" w:rsidRPr="00676813">
        <w:t xml:space="preserve"> </w:t>
      </w:r>
      <w:r w:rsidR="006E2960" w:rsidRPr="00676813">
        <w:t xml:space="preserve">or natural gas </w:t>
      </w:r>
      <w:r w:rsidR="00D93145" w:rsidRPr="00676813">
        <w:t xml:space="preserve">on the respective supply companies or of </w:t>
      </w:r>
      <w:r w:rsidR="006E2960" w:rsidRPr="00676813">
        <w:t xml:space="preserve">groups of fuels by origin (e.g. </w:t>
      </w:r>
      <w:r w:rsidR="00D93145" w:rsidRPr="00676813">
        <w:t xml:space="preserve">for </w:t>
      </w:r>
      <w:r w:rsidR="006E2960" w:rsidRPr="00676813">
        <w:t>oil products</w:t>
      </w:r>
      <w:r w:rsidR="00D93145" w:rsidRPr="00676813">
        <w:t xml:space="preserve"> on refineries</w:t>
      </w:r>
      <w:r w:rsidR="006E2960" w:rsidRPr="00676813">
        <w:t>) or use (e.g. transport fuels</w:t>
      </w:r>
      <w:r w:rsidR="00D93145" w:rsidRPr="00676813">
        <w:t xml:space="preserve"> on filling station operators).</w:t>
      </w:r>
    </w:p>
    <w:p w14:paraId="37DD1BD9" w14:textId="77777777" w:rsidR="003670E6" w:rsidRPr="00676813" w:rsidRDefault="007D5210" w:rsidP="00557E06">
      <w:pPr>
        <w:jc w:val="both"/>
      </w:pPr>
      <w:r w:rsidRPr="00676813">
        <w:t xml:space="preserve">Last but not least one should </w:t>
      </w:r>
      <w:r w:rsidR="00DA51E5" w:rsidRPr="00676813">
        <w:t>be aware</w:t>
      </w:r>
      <w:r w:rsidRPr="00676813">
        <w:t xml:space="preserve"> that a survey has to be conducted at least three times to obtain reliable results. The first data collection gives obviously good results in any way, </w:t>
      </w:r>
      <w:r w:rsidRPr="00676813">
        <w:lastRenderedPageBreak/>
        <w:t xml:space="preserve">because no comparable information is available. The second survey cycle – especially in case of sample surveys – often delivers contradictory results and at least a third cycle is needed to resolve the </w:t>
      </w:r>
      <w:r w:rsidR="00032441" w:rsidRPr="00676813">
        <w:t>problems. In the case of the household energy consumption survey in Austria (see country example below) four survey cycles were needed to establish a satisfying data validation procedure.</w:t>
      </w:r>
    </w:p>
    <w:p w14:paraId="3882188B" w14:textId="77777777" w:rsidR="000C67B5" w:rsidRPr="00676813" w:rsidRDefault="007D1991" w:rsidP="009437FB">
      <w:pPr>
        <w:pStyle w:val="NoSpacing"/>
        <w:spacing w:before="120" w:after="120"/>
        <w:rPr>
          <w:rStyle w:val="Strong"/>
          <w:sz w:val="28"/>
          <w:szCs w:val="28"/>
        </w:rPr>
      </w:pPr>
      <w:r w:rsidRPr="00676813">
        <w:rPr>
          <w:rStyle w:val="Strong"/>
          <w:sz w:val="28"/>
          <w:szCs w:val="28"/>
        </w:rPr>
        <w:t>Additional questions to existing survey</w:t>
      </w:r>
      <w:r w:rsidR="000805D2" w:rsidRPr="00676813">
        <w:rPr>
          <w:rStyle w:val="Strong"/>
          <w:sz w:val="28"/>
          <w:szCs w:val="28"/>
        </w:rPr>
        <w:t>s</w:t>
      </w:r>
    </w:p>
    <w:p w14:paraId="71F455A0" w14:textId="77777777" w:rsidR="007D1991" w:rsidRPr="00676813" w:rsidRDefault="007D1991" w:rsidP="0099423A">
      <w:pPr>
        <w:jc w:val="both"/>
      </w:pPr>
      <w:r w:rsidRPr="00676813">
        <w:t xml:space="preserve">This solution will be a good choice if </w:t>
      </w:r>
      <w:r w:rsidR="005F57A4" w:rsidRPr="00676813">
        <w:t xml:space="preserve">the information needed is specific with restricted </w:t>
      </w:r>
      <w:r w:rsidRPr="00676813">
        <w:t>data volume, the complexity is low (self-explaining questions), or a specific target group should be surveyed</w:t>
      </w:r>
      <w:r w:rsidR="009437FB" w:rsidRPr="00676813">
        <w:t>, e.g. the residential sector</w:t>
      </w:r>
      <w:r w:rsidRPr="00676813">
        <w:t>.</w:t>
      </w:r>
    </w:p>
    <w:p w14:paraId="4585BFC1" w14:textId="598F8A12" w:rsidR="009437FB" w:rsidRPr="00676813" w:rsidRDefault="009437FB" w:rsidP="0099423A">
      <w:pPr>
        <w:jc w:val="both"/>
      </w:pPr>
      <w:r w:rsidRPr="00676813">
        <w:t xml:space="preserve">It is cheaper </w:t>
      </w:r>
      <w:r w:rsidR="00386855">
        <w:t>than</w:t>
      </w:r>
      <w:r w:rsidR="00386855" w:rsidRPr="00676813">
        <w:t xml:space="preserve"> </w:t>
      </w:r>
      <w:r w:rsidRPr="00676813">
        <w:t xml:space="preserve">an </w:t>
      </w:r>
      <w:r w:rsidR="00120E81" w:rsidRPr="00676813">
        <w:t>exclusive</w:t>
      </w:r>
      <w:r w:rsidRPr="00676813">
        <w:t xml:space="preserve"> survey</w:t>
      </w:r>
      <w:r w:rsidR="00120E81" w:rsidRPr="00676813">
        <w:t xml:space="preserve"> and</w:t>
      </w:r>
      <w:r w:rsidRPr="00676813">
        <w:t xml:space="preserve"> </w:t>
      </w:r>
      <w:r w:rsidR="00120E81" w:rsidRPr="00676813">
        <w:t>the responden</w:t>
      </w:r>
      <w:r w:rsidR="00386855">
        <w:t>t</w:t>
      </w:r>
      <w:r w:rsidR="00120E81" w:rsidRPr="00676813">
        <w:t xml:space="preserve"> burden </w:t>
      </w:r>
      <w:r w:rsidR="00386855">
        <w:t xml:space="preserve">is </w:t>
      </w:r>
      <w:r w:rsidR="00120E81" w:rsidRPr="00676813">
        <w:t xml:space="preserve">normally lower. Typical widespread surveys that can be used to implement </w:t>
      </w:r>
      <w:r w:rsidR="009A10F7" w:rsidRPr="00676813">
        <w:t xml:space="preserve">specific </w:t>
      </w:r>
      <w:r w:rsidR="00120E81" w:rsidRPr="00676813">
        <w:t xml:space="preserve">energy </w:t>
      </w:r>
      <w:r w:rsidR="009A10F7" w:rsidRPr="00676813">
        <w:t xml:space="preserve">consumption </w:t>
      </w:r>
      <w:r w:rsidR="00120E81" w:rsidRPr="00676813">
        <w:t xml:space="preserve">related </w:t>
      </w:r>
      <w:r w:rsidR="009A10F7" w:rsidRPr="00676813">
        <w:t xml:space="preserve">questions </w:t>
      </w:r>
      <w:r w:rsidR="00120E81" w:rsidRPr="00676813">
        <w:t>are household expendi</w:t>
      </w:r>
      <w:r w:rsidR="009A10F7" w:rsidRPr="00676813">
        <w:t>ture surveys or agricultural census</w:t>
      </w:r>
      <w:r w:rsidR="005F57A4" w:rsidRPr="00676813">
        <w:t>es</w:t>
      </w:r>
      <w:r w:rsidR="009A10F7" w:rsidRPr="00676813">
        <w:t xml:space="preserve">. </w:t>
      </w:r>
    </w:p>
    <w:p w14:paraId="371A26DB" w14:textId="77777777" w:rsidR="009A10F7" w:rsidRPr="00676813" w:rsidRDefault="009A10F7" w:rsidP="00077A60">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sidRPr="00676813">
        <w:rPr>
          <w:i/>
        </w:rPr>
        <w:t xml:space="preserve">Country example </w:t>
      </w:r>
    </w:p>
    <w:p w14:paraId="01516DF0" w14:textId="77777777" w:rsidR="009A10F7" w:rsidRPr="00676813" w:rsidRDefault="009A10F7" w:rsidP="00077A60">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sidRPr="00676813">
        <w:rPr>
          <w:b/>
          <w:i/>
        </w:rPr>
        <w:t xml:space="preserve">Austria: </w:t>
      </w:r>
      <w:r w:rsidRPr="00676813">
        <w:rPr>
          <w:i/>
        </w:rPr>
        <w:t>Implementation of the voluntary household energy consumption survey as an integrated module into the obligatory labour force survey.</w:t>
      </w:r>
    </w:p>
    <w:p w14:paraId="2BF34384" w14:textId="77777777" w:rsidR="00E90E5B" w:rsidRPr="00676813" w:rsidRDefault="00E90E5B" w:rsidP="00077A60">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sidRPr="00676813">
        <w:rPr>
          <w:i/>
        </w:rPr>
        <w:t xml:space="preserve">The Household Energy Consumption survey is an independent module with voluntary response, appended to the </w:t>
      </w:r>
      <w:proofErr w:type="spellStart"/>
      <w:r w:rsidRPr="00676813">
        <w:rPr>
          <w:i/>
        </w:rPr>
        <w:t>Labor</w:t>
      </w:r>
      <w:proofErr w:type="spellEnd"/>
      <w:r w:rsidRPr="00676813">
        <w:rPr>
          <w:i/>
        </w:rPr>
        <w:t xml:space="preserve"> Force Survey which is mandatory every second year. This, in turn, is collected 1/5 by Computer assisted personal interviews (CAPI, face to face) and 4/5 via a Computer assisted telephone interview (CATI). Since 2006 the energy consumption survey is conducted by CATI only. The energy data, supplemented with basic data from the </w:t>
      </w:r>
      <w:proofErr w:type="spellStart"/>
      <w:r w:rsidRPr="00676813">
        <w:rPr>
          <w:i/>
        </w:rPr>
        <w:t>Labor</w:t>
      </w:r>
      <w:proofErr w:type="spellEnd"/>
      <w:r w:rsidRPr="00676813">
        <w:rPr>
          <w:i/>
        </w:rPr>
        <w:t xml:space="preserve"> force survey such as size of dwelling and building, construction period of the building, heating system and number of persons living in the household are transmitted in electronic form upon completion of the survey.</w:t>
      </w:r>
    </w:p>
    <w:p w14:paraId="2E71E2B1" w14:textId="77777777" w:rsidR="00E90E5B" w:rsidRPr="00676813" w:rsidRDefault="00E90E5B" w:rsidP="00077A60">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sidRPr="00676813">
        <w:rPr>
          <w:i/>
        </w:rPr>
        <w:t>The advantages in this case are the higher response rate (50 to 60%) and the lower costs compared to an independent household energy consumption survey.</w:t>
      </w:r>
    </w:p>
    <w:p w14:paraId="62126712" w14:textId="77777777" w:rsidR="003413E9" w:rsidRPr="00676813" w:rsidRDefault="003413E9" w:rsidP="003413E9">
      <w:r w:rsidRPr="00676813">
        <w:t>Other country cases</w:t>
      </w:r>
    </w:p>
    <w:p w14:paraId="7708F9A9" w14:textId="77777777" w:rsidR="003413E9" w:rsidRPr="00C108FB" w:rsidRDefault="003413E9" w:rsidP="003413E9">
      <w:pPr>
        <w:rPr>
          <w:b/>
          <w:highlight w:val="yellow"/>
          <w:lang w:val="lv-LV"/>
        </w:rPr>
      </w:pPr>
      <w:r w:rsidRPr="00C108FB">
        <w:rPr>
          <w:b/>
          <w:highlight w:val="yellow"/>
          <w:lang w:val="lv-LV"/>
        </w:rPr>
        <w:t>UK?</w:t>
      </w:r>
      <w:r w:rsidR="0087478F">
        <w:rPr>
          <w:b/>
          <w:highlight w:val="yellow"/>
          <w:lang w:val="lv-LV"/>
        </w:rPr>
        <w:t xml:space="preserve">, </w:t>
      </w:r>
      <w:r w:rsidRPr="00C108FB">
        <w:rPr>
          <w:b/>
          <w:highlight w:val="yellow"/>
          <w:lang w:val="lv-LV"/>
        </w:rPr>
        <w:t>Canada?</w:t>
      </w:r>
      <w:r w:rsidR="0087478F">
        <w:rPr>
          <w:b/>
          <w:highlight w:val="yellow"/>
          <w:lang w:val="lv-LV"/>
        </w:rPr>
        <w:t xml:space="preserve">, </w:t>
      </w:r>
      <w:r w:rsidRPr="00C108FB">
        <w:rPr>
          <w:b/>
          <w:highlight w:val="yellow"/>
          <w:lang w:val="lv-LV"/>
        </w:rPr>
        <w:t>Australia?</w:t>
      </w:r>
      <w:r w:rsidR="0087478F">
        <w:rPr>
          <w:b/>
          <w:highlight w:val="yellow"/>
          <w:lang w:val="lv-LV"/>
        </w:rPr>
        <w:t xml:space="preserve">, </w:t>
      </w:r>
      <w:r w:rsidRPr="00C108FB">
        <w:rPr>
          <w:b/>
          <w:highlight w:val="yellow"/>
          <w:lang w:val="lv-LV"/>
        </w:rPr>
        <w:t>Ghana?</w:t>
      </w:r>
      <w:r w:rsidR="0087478F">
        <w:rPr>
          <w:b/>
          <w:highlight w:val="yellow"/>
          <w:lang w:val="lv-LV"/>
        </w:rPr>
        <w:t xml:space="preserve">, </w:t>
      </w:r>
      <w:r w:rsidRPr="00C108FB">
        <w:rPr>
          <w:b/>
          <w:highlight w:val="yellow"/>
          <w:lang w:val="lv-LV"/>
        </w:rPr>
        <w:t>Azerbaijan?</w:t>
      </w:r>
      <w:r w:rsidR="0087478F">
        <w:rPr>
          <w:b/>
          <w:highlight w:val="yellow"/>
          <w:lang w:val="lv-LV"/>
        </w:rPr>
        <w:t xml:space="preserve">, </w:t>
      </w:r>
      <w:r w:rsidRPr="00C108FB">
        <w:rPr>
          <w:b/>
          <w:highlight w:val="yellow"/>
          <w:lang w:val="lv-LV"/>
        </w:rPr>
        <w:t>Sweden?</w:t>
      </w:r>
      <w:r w:rsidR="0087478F">
        <w:rPr>
          <w:b/>
          <w:highlight w:val="yellow"/>
          <w:lang w:val="lv-LV"/>
        </w:rPr>
        <w:t xml:space="preserve">, </w:t>
      </w:r>
      <w:r w:rsidRPr="00C108FB">
        <w:rPr>
          <w:b/>
          <w:highlight w:val="yellow"/>
          <w:lang w:val="lv-LV"/>
        </w:rPr>
        <w:t>Denmark?</w:t>
      </w:r>
      <w:r w:rsidR="0087478F">
        <w:rPr>
          <w:b/>
          <w:highlight w:val="yellow"/>
          <w:lang w:val="lv-LV"/>
        </w:rPr>
        <w:t xml:space="preserve">, </w:t>
      </w:r>
      <w:r w:rsidRPr="00C108FB">
        <w:rPr>
          <w:b/>
          <w:highlight w:val="yellow"/>
          <w:lang w:val="lv-LV"/>
        </w:rPr>
        <w:t>Finnland?</w:t>
      </w:r>
      <w:r w:rsidR="0087478F">
        <w:rPr>
          <w:b/>
          <w:highlight w:val="yellow"/>
          <w:lang w:val="lv-LV"/>
        </w:rPr>
        <w:t xml:space="preserve">, </w:t>
      </w:r>
      <w:r w:rsidRPr="00C108FB">
        <w:rPr>
          <w:b/>
          <w:highlight w:val="yellow"/>
          <w:lang w:val="lv-LV"/>
        </w:rPr>
        <w:t>South Africa?</w:t>
      </w:r>
      <w:r w:rsidR="0087478F">
        <w:rPr>
          <w:b/>
          <w:highlight w:val="yellow"/>
          <w:lang w:val="lv-LV"/>
        </w:rPr>
        <w:t xml:space="preserve">, </w:t>
      </w:r>
      <w:r w:rsidRPr="00C108FB">
        <w:rPr>
          <w:b/>
          <w:highlight w:val="yellow"/>
          <w:lang w:val="lv-LV"/>
        </w:rPr>
        <w:t>Russia?</w:t>
      </w:r>
      <w:r w:rsidR="0087478F">
        <w:rPr>
          <w:b/>
          <w:highlight w:val="yellow"/>
          <w:lang w:val="lv-LV"/>
        </w:rPr>
        <w:t xml:space="preserve">, </w:t>
      </w:r>
      <w:r w:rsidRPr="00C108FB">
        <w:rPr>
          <w:b/>
          <w:highlight w:val="yellow"/>
          <w:lang w:val="lv-LV"/>
        </w:rPr>
        <w:t>India?</w:t>
      </w:r>
      <w:r w:rsidR="0087478F">
        <w:rPr>
          <w:b/>
          <w:highlight w:val="yellow"/>
          <w:lang w:val="lv-LV"/>
        </w:rPr>
        <w:t xml:space="preserve">, </w:t>
      </w:r>
      <w:r w:rsidRPr="00C108FB">
        <w:rPr>
          <w:b/>
          <w:highlight w:val="yellow"/>
          <w:lang w:val="lv-LV"/>
        </w:rPr>
        <w:t>Norway?</w:t>
      </w:r>
      <w:r w:rsidR="0087478F">
        <w:rPr>
          <w:b/>
          <w:highlight w:val="yellow"/>
          <w:lang w:val="lv-LV"/>
        </w:rPr>
        <w:t xml:space="preserve">, </w:t>
      </w:r>
      <w:r w:rsidRPr="00C108FB">
        <w:rPr>
          <w:b/>
          <w:highlight w:val="yellow"/>
          <w:lang w:val="lv-LV"/>
        </w:rPr>
        <w:t>Malaysia?</w:t>
      </w:r>
      <w:r w:rsidR="0087478F">
        <w:rPr>
          <w:b/>
          <w:highlight w:val="yellow"/>
          <w:lang w:val="lv-LV"/>
        </w:rPr>
        <w:t xml:space="preserve">, </w:t>
      </w:r>
      <w:r w:rsidRPr="00C108FB">
        <w:rPr>
          <w:b/>
          <w:highlight w:val="yellow"/>
          <w:lang w:val="lv-LV"/>
        </w:rPr>
        <w:t>Ireland?</w:t>
      </w:r>
      <w:r w:rsidR="0087478F">
        <w:rPr>
          <w:b/>
          <w:highlight w:val="yellow"/>
          <w:lang w:val="lv-LV"/>
        </w:rPr>
        <w:t xml:space="preserve">, </w:t>
      </w:r>
      <w:r w:rsidRPr="00C108FB">
        <w:rPr>
          <w:b/>
          <w:highlight w:val="yellow"/>
          <w:lang w:val="lv-LV"/>
        </w:rPr>
        <w:t>Netherlands?</w:t>
      </w:r>
    </w:p>
    <w:p w14:paraId="2E5EC1EE" w14:textId="77777777" w:rsidR="000C67B5" w:rsidRPr="00C108FB" w:rsidRDefault="009437FB" w:rsidP="0036547E">
      <w:pPr>
        <w:pStyle w:val="NoSpacing"/>
        <w:spacing w:before="120" w:after="120"/>
        <w:rPr>
          <w:rStyle w:val="Strong"/>
          <w:sz w:val="28"/>
          <w:szCs w:val="28"/>
        </w:rPr>
      </w:pPr>
      <w:r w:rsidRPr="00C108FB">
        <w:rPr>
          <w:rStyle w:val="Strong"/>
          <w:sz w:val="28"/>
          <w:szCs w:val="28"/>
        </w:rPr>
        <w:t>Implementing a new survey</w:t>
      </w:r>
    </w:p>
    <w:p w14:paraId="044292EB" w14:textId="77777777" w:rsidR="0036547E" w:rsidRPr="00676813" w:rsidRDefault="003F0A3C">
      <w:pPr>
        <w:rPr>
          <w:b/>
          <w:sz w:val="24"/>
          <w:szCs w:val="24"/>
        </w:rPr>
      </w:pPr>
      <w:r w:rsidRPr="00C108FB">
        <w:rPr>
          <w:b/>
          <w:sz w:val="24"/>
          <w:szCs w:val="24"/>
        </w:rPr>
        <w:t>Surveys on energy supply</w:t>
      </w:r>
      <w:r w:rsidR="00C108FB">
        <w:rPr>
          <w:b/>
          <w:sz w:val="24"/>
          <w:szCs w:val="24"/>
        </w:rPr>
        <w:t xml:space="preserve"> and transformation</w:t>
      </w:r>
    </w:p>
    <w:p w14:paraId="090AF17B" w14:textId="1E42464D" w:rsidR="00DA56A3" w:rsidRDefault="00DA56A3" w:rsidP="00DA56A3">
      <w:pPr>
        <w:jc w:val="both"/>
      </w:pPr>
      <w:r w:rsidRPr="00676813">
        <w:t xml:space="preserve">Censuses are the best choice for surveys on energy supply and energy production because on the one hand the </w:t>
      </w:r>
      <w:r w:rsidR="005F57A4" w:rsidRPr="00676813">
        <w:t>number</w:t>
      </w:r>
      <w:r w:rsidRPr="00676813">
        <w:t xml:space="preserve"> of actors is </w:t>
      </w:r>
      <w:r w:rsidR="00770893" w:rsidRPr="00676813">
        <w:t xml:space="preserve">normally </w:t>
      </w:r>
      <w:r w:rsidR="005F57A4" w:rsidRPr="00676813">
        <w:t>manageable</w:t>
      </w:r>
      <w:r w:rsidRPr="00676813">
        <w:t xml:space="preserve"> and on the other hand the actors often are not comparable</w:t>
      </w:r>
      <w:r w:rsidR="005F57A4" w:rsidRPr="00676813">
        <w:t xml:space="preserve">, e.g. in </w:t>
      </w:r>
      <w:r w:rsidR="00770893">
        <w:t xml:space="preserve">the </w:t>
      </w:r>
      <w:r w:rsidR="005F57A4" w:rsidRPr="00676813">
        <w:t>case of oil supply refineries with blenders,</w:t>
      </w:r>
      <w:r w:rsidRPr="00676813">
        <w:t xml:space="preserve"> </w:t>
      </w:r>
      <w:r w:rsidR="00770893">
        <w:t xml:space="preserve">where </w:t>
      </w:r>
      <w:r w:rsidRPr="00676813">
        <w:t xml:space="preserve">grossing up procedures would produce wrong results. </w:t>
      </w:r>
    </w:p>
    <w:p w14:paraId="03DEA054" w14:textId="77777777" w:rsidR="000C67B5" w:rsidRPr="00676813" w:rsidRDefault="003F0A3C">
      <w:pPr>
        <w:rPr>
          <w:b/>
          <w:sz w:val="24"/>
          <w:szCs w:val="24"/>
        </w:rPr>
      </w:pPr>
      <w:r>
        <w:rPr>
          <w:b/>
          <w:sz w:val="24"/>
          <w:szCs w:val="24"/>
        </w:rPr>
        <w:t>Energy consumption s</w:t>
      </w:r>
      <w:r w:rsidR="0036547E" w:rsidRPr="00676813">
        <w:rPr>
          <w:b/>
          <w:sz w:val="24"/>
          <w:szCs w:val="24"/>
        </w:rPr>
        <w:t>urveys</w:t>
      </w:r>
    </w:p>
    <w:p w14:paraId="0EB9632D" w14:textId="77777777" w:rsidR="00DA56A3" w:rsidRDefault="00DA56A3" w:rsidP="0036547E">
      <w:pPr>
        <w:jc w:val="both"/>
      </w:pPr>
      <w:r w:rsidRPr="00676813">
        <w:t xml:space="preserve">As already mentioned above sample surveys normally are </w:t>
      </w:r>
      <w:r w:rsidR="006277E7" w:rsidRPr="00676813">
        <w:t>the choice</w:t>
      </w:r>
      <w:r w:rsidRPr="00676813">
        <w:t xml:space="preserve"> for surveying energy consumption, because of the large number of potential respondents.</w:t>
      </w:r>
    </w:p>
    <w:p w14:paraId="791E72B6" w14:textId="77777777" w:rsidR="0036547E" w:rsidRDefault="0036547E" w:rsidP="0036547E">
      <w:pPr>
        <w:jc w:val="both"/>
        <w:rPr>
          <w:rFonts w:cs="Times"/>
          <w:szCs w:val="20"/>
        </w:rPr>
      </w:pPr>
    </w:p>
    <w:p w14:paraId="2023A741" w14:textId="77777777" w:rsidR="006C7190" w:rsidRPr="006C7190" w:rsidRDefault="006C7190" w:rsidP="006C7190">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sidRPr="006C7190">
        <w:rPr>
          <w:i/>
        </w:rPr>
        <w:t>Country example:</w:t>
      </w:r>
    </w:p>
    <w:p w14:paraId="12D43B43" w14:textId="77777777" w:rsidR="006C7190" w:rsidRPr="006C7190" w:rsidRDefault="006C7190" w:rsidP="006C7190">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sidRPr="006C7190">
        <w:rPr>
          <w:i/>
        </w:rPr>
        <w:t xml:space="preserve"> </w:t>
      </w:r>
      <w:r w:rsidRPr="006C7190">
        <w:rPr>
          <w:b/>
          <w:i/>
        </w:rPr>
        <w:t>Azerbaijan</w:t>
      </w:r>
      <w:r w:rsidRPr="006C7190">
        <w:rPr>
          <w:i/>
        </w:rPr>
        <w:t xml:space="preserve"> household energy consumption s</w:t>
      </w:r>
      <w:r w:rsidR="001A22EF">
        <w:rPr>
          <w:i/>
        </w:rPr>
        <w:t>urvey</w:t>
      </w:r>
    </w:p>
    <w:p w14:paraId="72F23A3A" w14:textId="77777777" w:rsidR="006C7190" w:rsidRPr="006C7190" w:rsidRDefault="006C7190" w:rsidP="006C7190">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sidRPr="006C7190">
        <w:rPr>
          <w:i/>
        </w:rPr>
        <w:t xml:space="preserve">The State Statistical Committee of the Republic of Azerbaijan conducts sample surveys among 18.5 thousand households since 2007 for the purpose to study the processes in </w:t>
      </w:r>
      <w:r w:rsidRPr="006C7190">
        <w:rPr>
          <w:i/>
        </w:rPr>
        <w:lastRenderedPageBreak/>
        <w:t>energy sector of the country and reflect energy real consumption and the volume of energy consumed by households in consumption sector of energy balance.</w:t>
      </w:r>
    </w:p>
    <w:p w14:paraId="51B0A873" w14:textId="6F8FC2E6" w:rsidR="006C7190" w:rsidRPr="006C7190" w:rsidRDefault="006C7190" w:rsidP="006C7190">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sidRPr="006C7190">
        <w:rPr>
          <w:i/>
        </w:rPr>
        <w:t>The sample survey questionnaire consists of 38 questions. Here the indicators on quantity and value of electricity, natural gas, liquefied petroleum</w:t>
      </w:r>
      <w:r w:rsidR="00EE7521">
        <w:rPr>
          <w:i/>
        </w:rPr>
        <w:t xml:space="preserve"> </w:t>
      </w:r>
      <w:r w:rsidRPr="006C7190">
        <w:rPr>
          <w:i/>
        </w:rPr>
        <w:t xml:space="preserve">gases, wood (for heating purpose), wood coal, kerosene, diesel fuel, motor gasoline, local boiler houses and other items consumed for centralized heating are covered. </w:t>
      </w:r>
    </w:p>
    <w:p w14:paraId="013B147B" w14:textId="77777777" w:rsidR="006C7190" w:rsidRPr="006C7190" w:rsidRDefault="006C7190" w:rsidP="006C7190">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sidRPr="006C7190">
        <w:rPr>
          <w:i/>
        </w:rPr>
        <w:t>The survey covers proportionally all regions of the country based on quarterly random sample. The data for last three months are indicated in the questionnaire separately by months.</w:t>
      </w:r>
    </w:p>
    <w:p w14:paraId="528D57D9" w14:textId="7E075C41" w:rsidR="006C7190" w:rsidRPr="006C7190" w:rsidRDefault="006C7190" w:rsidP="006C7190">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sidRPr="006C7190">
        <w:rPr>
          <w:i/>
        </w:rPr>
        <w:t>The survey results were used for compilation of energy balance. The provided information on consumption was précised based on current survey and used for balance compilation.</w:t>
      </w:r>
      <w:r w:rsidR="00EE7521">
        <w:rPr>
          <w:i/>
        </w:rPr>
        <w:t xml:space="preserve">   </w:t>
      </w:r>
      <w:r w:rsidRPr="006C7190">
        <w:rPr>
          <w:i/>
        </w:rPr>
        <w:t xml:space="preserve"> </w:t>
      </w:r>
    </w:p>
    <w:p w14:paraId="136FFD46" w14:textId="77777777" w:rsidR="0036547E" w:rsidRPr="00676813" w:rsidRDefault="0036547E" w:rsidP="0036547E">
      <w:pPr>
        <w:jc w:val="both"/>
      </w:pPr>
    </w:p>
    <w:p w14:paraId="4A54126A" w14:textId="77777777" w:rsidR="004D69EA" w:rsidRPr="00676813" w:rsidRDefault="004D69EA" w:rsidP="004D69EA">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676813">
        <w:t xml:space="preserve">Country example </w:t>
      </w:r>
    </w:p>
    <w:p w14:paraId="165337E3" w14:textId="77777777" w:rsidR="004D69EA" w:rsidRPr="00676813" w:rsidRDefault="004D69EA" w:rsidP="004D69EA">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676813">
        <w:t>Germany: Panel survey: Energy consumption of private households</w:t>
      </w:r>
    </w:p>
    <w:p w14:paraId="1193CEF8" w14:textId="77777777" w:rsidR="004D69EA" w:rsidRPr="00676813" w:rsidRDefault="004D69EA" w:rsidP="004D69EA">
      <w:pPr>
        <w:pBdr>
          <w:top w:val="single" w:sz="4" w:space="1" w:color="auto"/>
          <w:left w:val="single" w:sz="4" w:space="4" w:color="auto"/>
          <w:bottom w:val="single" w:sz="4" w:space="1" w:color="auto"/>
          <w:right w:val="single" w:sz="4" w:space="4" w:color="auto"/>
        </w:pBdr>
        <w:shd w:val="clear" w:color="auto" w:fill="F2F2F2" w:themeFill="background1" w:themeFillShade="F2"/>
        <w:spacing w:after="113" w:line="236" w:lineRule="atLeast"/>
        <w:jc w:val="both"/>
        <w:rPr>
          <w:rFonts w:cs="Times"/>
          <w:szCs w:val="20"/>
        </w:rPr>
      </w:pPr>
      <w:r w:rsidRPr="00676813">
        <w:rPr>
          <w:rFonts w:cs="Times"/>
          <w:szCs w:val="20"/>
        </w:rPr>
        <w:t>In an on-going effort to establish an energy panel in Germany, the most recent documented survey covers the energy consumption of approximately 7,000 households nationwide for the years 2009 and 2010, with earlier survey waves covering the years since 2003. Data for the years 2011 and 2012 will be gathered at the outset of 2014, with additional improvements on the questionnaire and survey design currently in progress.</w:t>
      </w:r>
    </w:p>
    <w:p w14:paraId="6E77A8DA" w14:textId="77777777" w:rsidR="004D69EA" w:rsidRPr="00676813" w:rsidRDefault="004D69EA" w:rsidP="004D69EA">
      <w:pPr>
        <w:pBdr>
          <w:top w:val="single" w:sz="4" w:space="1" w:color="auto"/>
          <w:left w:val="single" w:sz="4" w:space="4" w:color="auto"/>
          <w:bottom w:val="single" w:sz="4" w:space="1" w:color="auto"/>
          <w:right w:val="single" w:sz="4" w:space="4" w:color="auto"/>
        </w:pBdr>
        <w:shd w:val="clear" w:color="auto" w:fill="F2F2F2" w:themeFill="background1" w:themeFillShade="F2"/>
        <w:spacing w:after="113" w:line="236" w:lineRule="atLeast"/>
        <w:jc w:val="both"/>
        <w:rPr>
          <w:rFonts w:cs="Times"/>
          <w:szCs w:val="20"/>
        </w:rPr>
      </w:pPr>
      <w:r w:rsidRPr="00676813">
        <w:rPr>
          <w:rFonts w:cs="Times"/>
          <w:szCs w:val="20"/>
        </w:rPr>
        <w:t>The samples of participating households are drawn from the population of German-speaking residents aged 14 to 69, with the aim of assembling a representative panel.</w:t>
      </w:r>
    </w:p>
    <w:p w14:paraId="7F95AC33" w14:textId="77777777" w:rsidR="004D69EA" w:rsidRPr="00676813" w:rsidRDefault="004D69EA" w:rsidP="004D69EA">
      <w:pPr>
        <w:pBdr>
          <w:top w:val="single" w:sz="4" w:space="1" w:color="auto"/>
          <w:left w:val="single" w:sz="4" w:space="4" w:color="auto"/>
          <w:bottom w:val="single" w:sz="4" w:space="1" w:color="auto"/>
          <w:right w:val="single" w:sz="4" w:space="4" w:color="auto"/>
        </w:pBdr>
        <w:shd w:val="clear" w:color="auto" w:fill="F2F2F2" w:themeFill="background1" w:themeFillShade="F2"/>
        <w:spacing w:after="113" w:line="236" w:lineRule="atLeast"/>
        <w:jc w:val="both"/>
        <w:rPr>
          <w:rFonts w:cs="Times"/>
          <w:szCs w:val="20"/>
        </w:rPr>
      </w:pPr>
      <w:r w:rsidRPr="00676813">
        <w:rPr>
          <w:rFonts w:cs="Times"/>
          <w:szCs w:val="20"/>
        </w:rPr>
        <w:t xml:space="preserve">Each participating household is equipped with an interface that projects the questions on the respondent’s television screen and allows an easy implementation of complex questionnaires by filter techniques and visual assistance. Respondents may answer the questions at any time of their choosing; they are not under time pressure and are not obligated to complete the questionnaire in a single session. The </w:t>
      </w:r>
      <w:proofErr w:type="spellStart"/>
      <w:r w:rsidRPr="00676813">
        <w:rPr>
          <w:rFonts w:cs="Times"/>
          <w:szCs w:val="20"/>
        </w:rPr>
        <w:t>forsa</w:t>
      </w:r>
      <w:proofErr w:type="spellEnd"/>
      <w:r w:rsidRPr="00676813">
        <w:rPr>
          <w:rFonts w:cs="Times"/>
          <w:szCs w:val="20"/>
        </w:rPr>
        <w:t xml:space="preserve"> tool, which immediately saves the collected information on a server, further allows for automatic consistency and validity checks during the data input by the participant. This ensures that the collected data is of high quality.</w:t>
      </w:r>
    </w:p>
    <w:p w14:paraId="2BFC2E38" w14:textId="77777777" w:rsidR="004D69EA" w:rsidRPr="00676813" w:rsidRDefault="004D69EA" w:rsidP="004D69EA">
      <w:pPr>
        <w:pBdr>
          <w:top w:val="single" w:sz="4" w:space="1" w:color="auto"/>
          <w:left w:val="single" w:sz="4" w:space="4" w:color="auto"/>
          <w:bottom w:val="single" w:sz="4" w:space="1" w:color="auto"/>
          <w:right w:val="single" w:sz="4" w:space="4" w:color="auto"/>
        </w:pBdr>
        <w:shd w:val="clear" w:color="auto" w:fill="F2F2F2" w:themeFill="background1" w:themeFillShade="F2"/>
        <w:spacing w:after="113" w:line="236" w:lineRule="atLeast"/>
        <w:jc w:val="both"/>
        <w:rPr>
          <w:rFonts w:cs="Times"/>
          <w:szCs w:val="20"/>
        </w:rPr>
      </w:pPr>
      <w:r w:rsidRPr="00676813">
        <w:rPr>
          <w:rFonts w:cs="Times"/>
          <w:szCs w:val="20"/>
        </w:rPr>
        <w:t>The survey gathers information about the energy consumption of various fuels of private households as well as the corresponding expenditures. In addition, households also disclose the use of renewable energies, socio-economic characteristics, and their ownership of electrical appliances.</w:t>
      </w:r>
    </w:p>
    <w:p w14:paraId="0485E068" w14:textId="77777777" w:rsidR="004D69EA" w:rsidRPr="00676813" w:rsidRDefault="004D69EA" w:rsidP="004D69EA">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676813">
        <w:rPr>
          <w:rFonts w:cs="Times"/>
          <w:szCs w:val="20"/>
        </w:rPr>
        <w:t>With a participation rate of approximately 70%, the often encountered problem of a low participation rate poses no issue. However, there exist two groups of survey participants for which we seek to improve the number of observations: low income households and households that predominantly employ district heating.</w:t>
      </w:r>
    </w:p>
    <w:p w14:paraId="1EFEA2E4" w14:textId="77777777" w:rsidR="003413E9" w:rsidRPr="00676813" w:rsidRDefault="003413E9" w:rsidP="003413E9">
      <w:r w:rsidRPr="00676813">
        <w:t>Other country cases</w:t>
      </w:r>
    </w:p>
    <w:p w14:paraId="29BBC5A5" w14:textId="77777777" w:rsidR="003413E9" w:rsidRPr="00676813" w:rsidRDefault="003413E9" w:rsidP="003413E9">
      <w:pPr>
        <w:rPr>
          <w:b/>
          <w:lang w:val="lv-LV"/>
        </w:rPr>
      </w:pPr>
      <w:r w:rsidRPr="00A07907">
        <w:rPr>
          <w:b/>
          <w:highlight w:val="yellow"/>
          <w:lang w:val="lv-LV"/>
        </w:rPr>
        <w:t>UK?</w:t>
      </w:r>
      <w:r w:rsidR="00844AEE">
        <w:rPr>
          <w:b/>
          <w:highlight w:val="yellow"/>
          <w:lang w:val="lv-LV"/>
        </w:rPr>
        <w:t xml:space="preserve">, </w:t>
      </w:r>
      <w:r w:rsidRPr="00A07907">
        <w:rPr>
          <w:b/>
          <w:highlight w:val="yellow"/>
          <w:lang w:val="lv-LV"/>
        </w:rPr>
        <w:t>Canada?</w:t>
      </w:r>
      <w:r w:rsidR="00844AEE">
        <w:rPr>
          <w:b/>
          <w:highlight w:val="yellow"/>
          <w:lang w:val="lv-LV"/>
        </w:rPr>
        <w:t xml:space="preserve">, </w:t>
      </w:r>
      <w:r w:rsidRPr="00A07907">
        <w:rPr>
          <w:b/>
          <w:highlight w:val="yellow"/>
          <w:lang w:val="lv-LV"/>
        </w:rPr>
        <w:t>Australia?</w:t>
      </w:r>
      <w:r w:rsidR="00844AEE">
        <w:rPr>
          <w:b/>
          <w:highlight w:val="yellow"/>
          <w:lang w:val="lv-LV"/>
        </w:rPr>
        <w:t xml:space="preserve">, </w:t>
      </w:r>
      <w:r w:rsidRPr="00A07907">
        <w:rPr>
          <w:b/>
          <w:highlight w:val="yellow"/>
          <w:lang w:val="lv-LV"/>
        </w:rPr>
        <w:t>Ghana?</w:t>
      </w:r>
      <w:r w:rsidR="00844AEE">
        <w:rPr>
          <w:b/>
          <w:highlight w:val="yellow"/>
          <w:lang w:val="lv-LV"/>
        </w:rPr>
        <w:t xml:space="preserve">, </w:t>
      </w:r>
      <w:r w:rsidRPr="00A07907">
        <w:rPr>
          <w:b/>
          <w:highlight w:val="yellow"/>
          <w:lang w:val="lv-LV"/>
        </w:rPr>
        <w:t>Azerbaijan?</w:t>
      </w:r>
      <w:r w:rsidR="00844AEE">
        <w:rPr>
          <w:b/>
          <w:highlight w:val="yellow"/>
          <w:lang w:val="lv-LV"/>
        </w:rPr>
        <w:t xml:space="preserve">, </w:t>
      </w:r>
      <w:r w:rsidRPr="00A07907">
        <w:rPr>
          <w:b/>
          <w:highlight w:val="yellow"/>
          <w:lang w:val="lv-LV"/>
        </w:rPr>
        <w:t>Sweden?</w:t>
      </w:r>
      <w:r w:rsidR="00844AEE">
        <w:rPr>
          <w:b/>
          <w:highlight w:val="yellow"/>
          <w:lang w:val="lv-LV"/>
        </w:rPr>
        <w:t xml:space="preserve">, </w:t>
      </w:r>
      <w:r w:rsidRPr="00A07907">
        <w:rPr>
          <w:b/>
          <w:highlight w:val="yellow"/>
          <w:lang w:val="lv-LV"/>
        </w:rPr>
        <w:t>Denmark?</w:t>
      </w:r>
      <w:r w:rsidR="00844AEE">
        <w:rPr>
          <w:b/>
          <w:highlight w:val="yellow"/>
          <w:lang w:val="lv-LV"/>
        </w:rPr>
        <w:t xml:space="preserve">, </w:t>
      </w:r>
      <w:r w:rsidRPr="00A07907">
        <w:rPr>
          <w:b/>
          <w:highlight w:val="yellow"/>
          <w:lang w:val="lv-LV"/>
        </w:rPr>
        <w:t>Finnland?</w:t>
      </w:r>
      <w:r w:rsidR="00844AEE">
        <w:rPr>
          <w:b/>
          <w:highlight w:val="yellow"/>
          <w:lang w:val="lv-LV"/>
        </w:rPr>
        <w:t xml:space="preserve">, </w:t>
      </w:r>
      <w:r w:rsidRPr="00A07907">
        <w:rPr>
          <w:b/>
          <w:highlight w:val="yellow"/>
          <w:lang w:val="lv-LV"/>
        </w:rPr>
        <w:t>South Africa?</w:t>
      </w:r>
      <w:r w:rsidR="00844AEE">
        <w:rPr>
          <w:b/>
          <w:highlight w:val="yellow"/>
          <w:lang w:val="lv-LV"/>
        </w:rPr>
        <w:t xml:space="preserve">, </w:t>
      </w:r>
      <w:r w:rsidRPr="00A07907">
        <w:rPr>
          <w:b/>
          <w:highlight w:val="yellow"/>
          <w:lang w:val="lv-LV"/>
        </w:rPr>
        <w:t>Russia?</w:t>
      </w:r>
      <w:r w:rsidR="00844AEE">
        <w:rPr>
          <w:b/>
          <w:highlight w:val="yellow"/>
          <w:lang w:val="lv-LV"/>
        </w:rPr>
        <w:t xml:space="preserve">, </w:t>
      </w:r>
      <w:r w:rsidRPr="00A07907">
        <w:rPr>
          <w:b/>
          <w:highlight w:val="yellow"/>
          <w:lang w:val="lv-LV"/>
        </w:rPr>
        <w:t>India?</w:t>
      </w:r>
      <w:r w:rsidR="00844AEE">
        <w:rPr>
          <w:b/>
          <w:highlight w:val="yellow"/>
          <w:lang w:val="lv-LV"/>
        </w:rPr>
        <w:t xml:space="preserve">, </w:t>
      </w:r>
      <w:r w:rsidRPr="00A07907">
        <w:rPr>
          <w:b/>
          <w:highlight w:val="yellow"/>
          <w:lang w:val="lv-LV"/>
        </w:rPr>
        <w:t>Norway?</w:t>
      </w:r>
      <w:r w:rsidR="00844AEE">
        <w:rPr>
          <w:b/>
          <w:highlight w:val="yellow"/>
          <w:lang w:val="lv-LV"/>
        </w:rPr>
        <w:t xml:space="preserve">, </w:t>
      </w:r>
      <w:r w:rsidRPr="00A07907">
        <w:rPr>
          <w:b/>
          <w:highlight w:val="yellow"/>
          <w:lang w:val="lv-LV"/>
        </w:rPr>
        <w:t>Malaysia?</w:t>
      </w:r>
      <w:r w:rsidR="00844AEE">
        <w:rPr>
          <w:b/>
          <w:highlight w:val="yellow"/>
          <w:lang w:val="lv-LV"/>
        </w:rPr>
        <w:t xml:space="preserve">, </w:t>
      </w:r>
      <w:r w:rsidRPr="00A07907">
        <w:rPr>
          <w:b/>
          <w:highlight w:val="yellow"/>
          <w:lang w:val="lv-LV"/>
        </w:rPr>
        <w:t>Ireland?</w:t>
      </w:r>
      <w:r w:rsidR="00844AEE">
        <w:rPr>
          <w:b/>
          <w:highlight w:val="yellow"/>
          <w:lang w:val="lv-LV"/>
        </w:rPr>
        <w:t xml:space="preserve">, </w:t>
      </w:r>
      <w:r w:rsidRPr="00A07907">
        <w:rPr>
          <w:b/>
          <w:highlight w:val="yellow"/>
          <w:lang w:val="lv-LV"/>
        </w:rPr>
        <w:t>Netherlands?</w:t>
      </w:r>
    </w:p>
    <w:p w14:paraId="7B6B28EA" w14:textId="77777777" w:rsidR="00B947FC" w:rsidRDefault="00B947FC" w:rsidP="00B947FC">
      <w:pPr>
        <w:pStyle w:val="Heading1"/>
        <w:ind w:left="360"/>
      </w:pPr>
    </w:p>
    <w:p w14:paraId="239A02FD" w14:textId="77777777" w:rsidR="00816B78" w:rsidRPr="00676813" w:rsidRDefault="00ED64D0" w:rsidP="001A22EF">
      <w:pPr>
        <w:pStyle w:val="Heading1"/>
        <w:numPr>
          <w:ilvl w:val="0"/>
          <w:numId w:val="23"/>
        </w:numPr>
      </w:pPr>
      <w:r w:rsidRPr="00676813">
        <w:t>Modelling</w:t>
      </w:r>
    </w:p>
    <w:p w14:paraId="667178A7" w14:textId="74772C30" w:rsidR="00ED64D0" w:rsidRPr="00676813" w:rsidRDefault="00ED64D0" w:rsidP="00ED64D0">
      <w:pPr>
        <w:jc w:val="both"/>
      </w:pPr>
      <w:r w:rsidRPr="00676813">
        <w:t>Be</w:t>
      </w:r>
      <w:r w:rsidR="00B947FC">
        <w:t>sides</w:t>
      </w:r>
      <w:r w:rsidRPr="00676813">
        <w:t xml:space="preserve"> the use of already existing information</w:t>
      </w:r>
      <w:r w:rsidR="005B67C5">
        <w:t>,</w:t>
      </w:r>
      <w:r w:rsidRPr="00676813">
        <w:t xml:space="preserve"> modelling is </w:t>
      </w:r>
      <w:r w:rsidR="005B67C5">
        <w:t>another</w:t>
      </w:r>
      <w:r w:rsidR="005B67C5" w:rsidRPr="00676813">
        <w:t xml:space="preserve"> </w:t>
      </w:r>
      <w:r w:rsidRPr="00676813">
        <w:t xml:space="preserve">possibility to reduce costs – especially with energy consumption surveys </w:t>
      </w:r>
      <w:r w:rsidR="0015034D">
        <w:t>–</w:t>
      </w:r>
      <w:r w:rsidRPr="00676813">
        <w:t xml:space="preserve"> either by lowering survey frequency or by reducing extent and complexity of a data collection exercise by using additional sources to obtain all information needed. </w:t>
      </w:r>
    </w:p>
    <w:p w14:paraId="2A2E8938" w14:textId="3415E383" w:rsidR="00ED64D0" w:rsidRPr="00676813" w:rsidRDefault="00ED64D0" w:rsidP="00ED64D0">
      <w:pPr>
        <w:jc w:val="both"/>
      </w:pPr>
      <w:r w:rsidRPr="00676813">
        <w:rPr>
          <w:lang w:val="en-US"/>
        </w:rPr>
        <w:lastRenderedPageBreak/>
        <w:t>Because of the complexity of energy consumption, the responses have to be validated intensively and carefully. Such data validation/adjustment</w:t>
      </w:r>
      <w:r w:rsidR="005B67C5">
        <w:rPr>
          <w:lang w:val="en-US"/>
        </w:rPr>
        <w:t>s are</w:t>
      </w:r>
      <w:r w:rsidRPr="00676813">
        <w:rPr>
          <w:lang w:val="en-US"/>
        </w:rPr>
        <w:t xml:space="preserve"> normally base</w:t>
      </w:r>
      <w:r w:rsidR="005B67C5">
        <w:rPr>
          <w:lang w:val="en-US"/>
        </w:rPr>
        <w:t>d</w:t>
      </w:r>
      <w:r w:rsidRPr="00676813">
        <w:rPr>
          <w:lang w:val="en-US"/>
        </w:rPr>
        <w:t xml:space="preserve"> on default values that are used to check the reliability of the responses. Therefore it can be stated that the survey is the first step</w:t>
      </w:r>
      <w:r w:rsidR="004C5ED1">
        <w:rPr>
          <w:lang w:val="en-US"/>
        </w:rPr>
        <w:t>,</w:t>
      </w:r>
      <w:r w:rsidRPr="00676813">
        <w:rPr>
          <w:lang w:val="en-US"/>
        </w:rPr>
        <w:t xml:space="preserve"> and </w:t>
      </w:r>
      <w:r w:rsidRPr="00676813">
        <w:rPr>
          <w:b/>
          <w:lang w:val="en-US"/>
        </w:rPr>
        <w:t>a model based</w:t>
      </w:r>
      <w:r w:rsidRPr="00676813">
        <w:rPr>
          <w:lang w:val="en-US"/>
        </w:rPr>
        <w:t xml:space="preserve"> data validation</w:t>
      </w:r>
      <w:r w:rsidR="004C5ED1">
        <w:rPr>
          <w:lang w:val="en-US"/>
        </w:rPr>
        <w:t xml:space="preserve"> is</w:t>
      </w:r>
      <w:r w:rsidRPr="00676813">
        <w:rPr>
          <w:lang w:val="en-US"/>
        </w:rPr>
        <w:t xml:space="preserve"> the necessary second step to get realistic consumption figures</w:t>
      </w:r>
      <w:r w:rsidR="004C5ED1">
        <w:rPr>
          <w:lang w:val="en-US"/>
        </w:rPr>
        <w:t>,</w:t>
      </w:r>
      <w:r w:rsidR="004F37CF" w:rsidRPr="00676813">
        <w:rPr>
          <w:lang w:val="en-US"/>
        </w:rPr>
        <w:t xml:space="preserve"> </w:t>
      </w:r>
      <w:r w:rsidR="004C5ED1">
        <w:rPr>
          <w:lang w:val="en-US"/>
        </w:rPr>
        <w:t>as shown in</w:t>
      </w:r>
      <w:r w:rsidR="004C5ED1" w:rsidRPr="00676813">
        <w:rPr>
          <w:lang w:val="en-US"/>
        </w:rPr>
        <w:t xml:space="preserve"> </w:t>
      </w:r>
      <w:r w:rsidR="004F37CF" w:rsidRPr="00676813">
        <w:rPr>
          <w:lang w:val="en-US"/>
        </w:rPr>
        <w:t>the example of Austria</w:t>
      </w:r>
      <w:r w:rsidRPr="00676813">
        <w:rPr>
          <w:lang w:val="en-US"/>
        </w:rPr>
        <w:t>.</w:t>
      </w:r>
      <w:r w:rsidRPr="00676813">
        <w:t xml:space="preserve"> </w:t>
      </w:r>
    </w:p>
    <w:p w14:paraId="5652E80F" w14:textId="77777777" w:rsidR="00050137" w:rsidRPr="00676813" w:rsidRDefault="00050137" w:rsidP="00050137">
      <w:pPr>
        <w:spacing w:line="240" w:lineRule="auto"/>
        <w:jc w:val="both"/>
        <w:rPr>
          <w:lang w:val="en-US"/>
        </w:rPr>
      </w:pPr>
      <w:r w:rsidRPr="00676813">
        <w:rPr>
          <w:lang w:val="en-US"/>
        </w:rPr>
        <w:t>Other typical cases for modeling beneath data validation are</w:t>
      </w:r>
      <w:r w:rsidRPr="00676813">
        <w:rPr>
          <w:rStyle w:val="FootnoteReference"/>
          <w:lang w:val="en-US"/>
        </w:rPr>
        <w:footnoteReference w:id="9"/>
      </w:r>
      <w:r w:rsidRPr="00676813">
        <w:rPr>
          <w:lang w:val="en-US"/>
        </w:rPr>
        <w:t>:</w:t>
      </w:r>
    </w:p>
    <w:p w14:paraId="459D6290" w14:textId="77777777" w:rsidR="003F10D3" w:rsidRPr="00676813" w:rsidRDefault="003F10D3" w:rsidP="001A22EF">
      <w:pPr>
        <w:pStyle w:val="ListParagraph"/>
        <w:numPr>
          <w:ilvl w:val="0"/>
          <w:numId w:val="24"/>
        </w:numPr>
        <w:spacing w:line="240" w:lineRule="auto"/>
        <w:ind w:left="851"/>
        <w:jc w:val="both"/>
        <w:rPr>
          <w:lang w:val="en-US"/>
        </w:rPr>
      </w:pPr>
      <w:bookmarkStart w:id="7" w:name="_Toc362282676"/>
      <w:r w:rsidRPr="00676813">
        <w:rPr>
          <w:lang w:val="en-US"/>
        </w:rPr>
        <w:t>consumption breakdown by purpose if a fuel is used for more than one purpose (e.g. electricity)</w:t>
      </w:r>
    </w:p>
    <w:p w14:paraId="41DB035B" w14:textId="77777777" w:rsidR="003F10D3" w:rsidRPr="00676813" w:rsidRDefault="003F10D3" w:rsidP="001A22EF">
      <w:pPr>
        <w:pStyle w:val="ListParagraph"/>
        <w:numPr>
          <w:ilvl w:val="0"/>
          <w:numId w:val="24"/>
        </w:numPr>
        <w:spacing w:line="240" w:lineRule="auto"/>
        <w:ind w:left="851"/>
        <w:jc w:val="both"/>
        <w:rPr>
          <w:lang w:val="en-US"/>
        </w:rPr>
      </w:pPr>
      <w:r w:rsidRPr="00676813">
        <w:rPr>
          <w:lang w:val="en-US"/>
        </w:rPr>
        <w:t>fuel shares if more than one fuel are used for one purpose (e.g. for space heating)</w:t>
      </w:r>
    </w:p>
    <w:p w14:paraId="0651457F" w14:textId="77777777" w:rsidR="00050137" w:rsidRPr="00676813" w:rsidRDefault="00050137" w:rsidP="004F37CF">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240" w:line="240" w:lineRule="auto"/>
        <w:rPr>
          <w:rFonts w:cs="Arial"/>
          <w:sz w:val="28"/>
          <w:szCs w:val="28"/>
        </w:rPr>
      </w:pPr>
      <w:r w:rsidRPr="00676813">
        <w:rPr>
          <w:rFonts w:cs="Arial"/>
          <w:sz w:val="28"/>
          <w:szCs w:val="28"/>
        </w:rPr>
        <w:t>Austria</w:t>
      </w:r>
      <w:r w:rsidR="004F37CF" w:rsidRPr="00676813">
        <w:rPr>
          <w:rFonts w:cs="Arial"/>
          <w:sz w:val="28"/>
          <w:szCs w:val="28"/>
        </w:rPr>
        <w:t>n</w:t>
      </w:r>
      <w:r w:rsidRPr="00676813">
        <w:rPr>
          <w:rFonts w:cs="Arial"/>
          <w:sz w:val="28"/>
          <w:szCs w:val="28"/>
        </w:rPr>
        <w:t xml:space="preserve"> </w:t>
      </w:r>
      <w:r w:rsidR="004F37CF" w:rsidRPr="00676813">
        <w:rPr>
          <w:rFonts w:cs="Arial"/>
          <w:sz w:val="28"/>
          <w:szCs w:val="28"/>
        </w:rPr>
        <w:t>m</w:t>
      </w:r>
      <w:r w:rsidRPr="00676813">
        <w:rPr>
          <w:rFonts w:cs="Arial"/>
          <w:sz w:val="28"/>
          <w:szCs w:val="28"/>
        </w:rPr>
        <w:t xml:space="preserve">odel based data validation procedure </w:t>
      </w:r>
      <w:bookmarkEnd w:id="7"/>
      <w:r w:rsidR="004F37CF" w:rsidRPr="00676813">
        <w:rPr>
          <w:rFonts w:cs="Arial"/>
          <w:sz w:val="28"/>
          <w:szCs w:val="28"/>
        </w:rPr>
        <w:t>for the household energy consumption survey</w:t>
      </w:r>
    </w:p>
    <w:p w14:paraId="76E3CF62" w14:textId="19C2773F" w:rsidR="00050137" w:rsidRPr="00676813" w:rsidRDefault="00050137" w:rsidP="004F37CF">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spacing w:after="113" w:line="236" w:lineRule="atLeast"/>
        <w:jc w:val="both"/>
        <w:rPr>
          <w:rFonts w:ascii="Times" w:hAnsi="Times" w:cs="Times"/>
          <w:sz w:val="20"/>
          <w:szCs w:val="20"/>
        </w:rPr>
      </w:pPr>
      <w:bookmarkStart w:id="8" w:name="_Toc358217531"/>
      <w:r w:rsidRPr="00676813">
        <w:rPr>
          <w:rFonts w:cs="Times"/>
          <w:szCs w:val="20"/>
        </w:rPr>
        <w:t xml:space="preserve">The new approach for model based data validation was implemented the first time in 2004. Up to and including the 2000 survey, only the individual energy sources themselves were checked for plausibility, any missing data were calculated (quantity-value pairs) and substitutions were made if necessary. Such routines continue to be used, but with the additional step that the total of the reported energy consumption is then checked against a </w:t>
      </w:r>
      <w:r w:rsidRPr="00676813">
        <w:rPr>
          <w:rFonts w:cs="Times"/>
          <w:szCs w:val="20"/>
        </w:rPr>
        <w:t>calculated (modelled) overall consumption. This modelled consumption for</w:t>
      </w:r>
      <w:r w:rsidR="00EE7521">
        <w:rPr>
          <w:rFonts w:cs="Times"/>
          <w:szCs w:val="20"/>
        </w:rPr>
        <w:t xml:space="preserve"> </w:t>
      </w:r>
      <w:r w:rsidRPr="00676813">
        <w:rPr>
          <w:rFonts w:cs="Times"/>
          <w:szCs w:val="20"/>
        </w:rPr>
        <w:t xml:space="preserve">each individual </w:t>
      </w:r>
      <w:r w:rsidRPr="00676813">
        <w:rPr>
          <w:rFonts w:cs="Times"/>
          <w:szCs w:val="20"/>
        </w:rPr>
        <w:t>household is calculated from basic data for that household, on the one hand (floor space, number of people in household) and pre-set parameters for the individual types of use (space heating, water heating and cooking), on the other hand. To identify the right “reported” energy consumption per household in this way involves some quite complicated plausibility routines, because one or more alternative quantities have to be calculated if the quantity-value pairs do not match and these alternative quantities then, when variably applied, lead to a number of different calculated overall energy consumption figures. The modelled standard value is then used to select the quantity-value pairs that appear most probable.</w:t>
      </w:r>
    </w:p>
    <w:p w14:paraId="1C97CFED" w14:textId="77777777" w:rsidR="00050137" w:rsidRPr="00676813" w:rsidRDefault="00050137" w:rsidP="004F37CF">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spacing w:after="113" w:line="236" w:lineRule="atLeast"/>
        <w:jc w:val="both"/>
        <w:rPr>
          <w:rFonts w:cs="Times"/>
          <w:szCs w:val="20"/>
        </w:rPr>
      </w:pPr>
      <w:r w:rsidRPr="00676813">
        <w:rPr>
          <w:rFonts w:cs="Times"/>
          <w:szCs w:val="20"/>
        </w:rPr>
        <w:t xml:space="preserve">This procedure described in detail below was implemented, because the survey results showed unreliable consumption pattern for several fuels and they were in contradiction to other information available. The results were analysed and discussed together with external experts mainly from Universities and the data validation methodology was developed together with these experts. Of course this model is continuously developing further and the default values used have to be adapted permanently to changing circumstances. The default values are derived from households using a single fuel for the respective purpose (water heating, cooking) and from internet research, for space heating they are based on research of the technical university of Vienna. The results now are in a reliable range for all fuels and can be used – together with other surveys’ results - to compile annual energy balances for Austria and its </w:t>
      </w:r>
      <w:proofErr w:type="spellStart"/>
      <w:r w:rsidRPr="00676813">
        <w:rPr>
          <w:rFonts w:cs="Times"/>
          <w:szCs w:val="20"/>
        </w:rPr>
        <w:t>Laender</w:t>
      </w:r>
      <w:proofErr w:type="spellEnd"/>
      <w:r w:rsidRPr="00676813">
        <w:rPr>
          <w:rFonts w:cs="Times"/>
          <w:szCs w:val="20"/>
        </w:rPr>
        <w:t xml:space="preserve"> (regions).</w:t>
      </w:r>
    </w:p>
    <w:p w14:paraId="07106B2D" w14:textId="77777777" w:rsidR="00050137" w:rsidRPr="00676813" w:rsidRDefault="00050137" w:rsidP="004F37CF">
      <w:pPr>
        <w:pBdr>
          <w:top w:val="single" w:sz="4" w:space="1" w:color="auto"/>
          <w:left w:val="single" w:sz="4" w:space="4" w:color="auto"/>
          <w:bottom w:val="single" w:sz="4" w:space="1" w:color="auto"/>
          <w:right w:val="single" w:sz="4" w:space="4" w:color="auto"/>
        </w:pBdr>
        <w:shd w:val="clear" w:color="auto" w:fill="F2F2F2" w:themeFill="background1" w:themeFillShade="F2"/>
        <w:spacing w:line="24" w:lineRule="atLeast"/>
        <w:rPr>
          <w:rFonts w:cs="Times"/>
          <w:szCs w:val="20"/>
        </w:rPr>
      </w:pPr>
      <w:r w:rsidRPr="00676813">
        <w:rPr>
          <w:rFonts w:cs="Times"/>
          <w:szCs w:val="20"/>
        </w:rPr>
        <w:t>The data validation procedure is conducted in ACCESS-VBA. The processing is based on the original, untreated data-set.</w:t>
      </w:r>
    </w:p>
    <w:p w14:paraId="1BEC5A0B" w14:textId="77777777" w:rsidR="00050137" w:rsidRPr="00676813" w:rsidRDefault="00050137" w:rsidP="004F37CF">
      <w:pPr>
        <w:pBdr>
          <w:top w:val="single" w:sz="4" w:space="1" w:color="auto"/>
          <w:left w:val="single" w:sz="4" w:space="4" w:color="auto"/>
          <w:bottom w:val="single" w:sz="4" w:space="1" w:color="auto"/>
          <w:right w:val="single" w:sz="4" w:space="4" w:color="auto"/>
        </w:pBdr>
        <w:shd w:val="clear" w:color="auto" w:fill="F2F2F2" w:themeFill="background1" w:themeFillShade="F2"/>
        <w:spacing w:line="24" w:lineRule="atLeast"/>
        <w:jc w:val="both"/>
        <w:rPr>
          <w:rFonts w:cs="Times"/>
          <w:szCs w:val="20"/>
        </w:rPr>
      </w:pPr>
      <w:r w:rsidRPr="00676813">
        <w:rPr>
          <w:rFonts w:cs="Times"/>
          <w:szCs w:val="20"/>
        </w:rPr>
        <w:t xml:space="preserve">For checking the plausibility of single data sets the following set of tables with factors as follows are used: </w:t>
      </w:r>
    </w:p>
    <w:p w14:paraId="5547106B" w14:textId="77777777" w:rsidR="00050137" w:rsidRPr="00676813" w:rsidRDefault="00050137" w:rsidP="001A22EF">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 w:lineRule="atLeast"/>
        <w:ind w:left="567" w:hanging="567"/>
        <w:rPr>
          <w:rFonts w:cs="Times"/>
          <w:szCs w:val="20"/>
        </w:rPr>
      </w:pPr>
      <w:r w:rsidRPr="00676813">
        <w:rPr>
          <w:rFonts w:cs="Times"/>
          <w:szCs w:val="20"/>
        </w:rPr>
        <w:t xml:space="preserve">Fuel specific conversion factors with corresponding calorific values, </w:t>
      </w:r>
    </w:p>
    <w:p w14:paraId="224DAA18" w14:textId="77777777" w:rsidR="00050137" w:rsidRPr="00676813" w:rsidRDefault="00050137" w:rsidP="001A22EF">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 w:lineRule="atLeast"/>
        <w:ind w:left="567" w:hanging="567"/>
        <w:rPr>
          <w:rFonts w:cs="Times"/>
          <w:szCs w:val="20"/>
        </w:rPr>
      </w:pPr>
      <w:r w:rsidRPr="00676813">
        <w:rPr>
          <w:rFonts w:cs="Times"/>
          <w:szCs w:val="20"/>
        </w:rPr>
        <w:t xml:space="preserve">Fixed upper limits of fuel amounts and corresponding expenses, </w:t>
      </w:r>
    </w:p>
    <w:p w14:paraId="188330AA" w14:textId="77777777" w:rsidR="00050137" w:rsidRPr="00676813" w:rsidRDefault="00050137" w:rsidP="001A22EF">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 w:lineRule="atLeast"/>
        <w:ind w:left="567" w:hanging="567"/>
        <w:rPr>
          <w:rFonts w:cs="Times"/>
          <w:szCs w:val="20"/>
        </w:rPr>
      </w:pPr>
      <w:proofErr w:type="spellStart"/>
      <w:r w:rsidRPr="00676813">
        <w:rPr>
          <w:rFonts w:cs="Times"/>
          <w:szCs w:val="20"/>
        </w:rPr>
        <w:t>Laender</w:t>
      </w:r>
      <w:proofErr w:type="spellEnd"/>
      <w:r w:rsidRPr="00676813">
        <w:rPr>
          <w:rFonts w:cs="Times"/>
          <w:szCs w:val="20"/>
        </w:rPr>
        <w:t xml:space="preserve"> specific prices for natural gas, non- interruptible and interruptible electricity, </w:t>
      </w:r>
    </w:p>
    <w:p w14:paraId="7BEEAA58" w14:textId="77777777" w:rsidR="00050137" w:rsidRPr="00676813" w:rsidRDefault="00050137" w:rsidP="001A22EF">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 w:lineRule="atLeast"/>
        <w:ind w:left="567" w:hanging="567"/>
        <w:rPr>
          <w:rFonts w:cs="Times"/>
          <w:szCs w:val="20"/>
        </w:rPr>
      </w:pPr>
      <w:r w:rsidRPr="00676813">
        <w:rPr>
          <w:rFonts w:cs="Times"/>
          <w:szCs w:val="20"/>
        </w:rPr>
        <w:t xml:space="preserve">Average prices for the other fuels, </w:t>
      </w:r>
    </w:p>
    <w:p w14:paraId="0E09E1D7" w14:textId="77777777" w:rsidR="00050137" w:rsidRPr="00676813" w:rsidRDefault="00050137" w:rsidP="001A22EF">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 w:lineRule="atLeast"/>
        <w:ind w:left="567" w:hanging="567"/>
        <w:rPr>
          <w:rFonts w:cs="Times"/>
          <w:szCs w:val="20"/>
        </w:rPr>
      </w:pPr>
      <w:r w:rsidRPr="00676813">
        <w:rPr>
          <w:rFonts w:cs="Times"/>
          <w:szCs w:val="20"/>
        </w:rPr>
        <w:t>Average annual energy consumption for water heating and cooking and</w:t>
      </w:r>
    </w:p>
    <w:p w14:paraId="2C29AFED" w14:textId="77777777" w:rsidR="00050137" w:rsidRPr="00676813" w:rsidRDefault="00050137" w:rsidP="001A22EF">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 w:lineRule="atLeast"/>
        <w:ind w:left="567" w:hanging="567"/>
        <w:rPr>
          <w:rFonts w:cs="Times"/>
          <w:szCs w:val="20"/>
        </w:rPr>
      </w:pPr>
      <w:r w:rsidRPr="00676813">
        <w:rPr>
          <w:rFonts w:cs="Times"/>
          <w:szCs w:val="20"/>
        </w:rPr>
        <w:t xml:space="preserve">Average annual energy consumption for space heating per m² depending on the dwelling´s age and size. </w:t>
      </w:r>
    </w:p>
    <w:p w14:paraId="564EE120" w14:textId="77777777" w:rsidR="00050137" w:rsidRPr="00676813" w:rsidRDefault="00050137" w:rsidP="001A22EF">
      <w:pPr>
        <w:pStyle w:val="Header"/>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13" w:line="236" w:lineRule="atLeast"/>
        <w:ind w:hanging="720"/>
        <w:jc w:val="both"/>
        <w:rPr>
          <w:rFonts w:cs="Times"/>
          <w:b/>
          <w:szCs w:val="20"/>
        </w:rPr>
      </w:pPr>
      <w:r w:rsidRPr="00676813">
        <w:rPr>
          <w:rFonts w:cs="Times"/>
          <w:b/>
          <w:szCs w:val="20"/>
        </w:rPr>
        <w:t>Single Data Level</w:t>
      </w:r>
      <w:bookmarkEnd w:id="8"/>
    </w:p>
    <w:p w14:paraId="2B1F7426" w14:textId="77777777" w:rsidR="00050137" w:rsidRPr="00676813" w:rsidRDefault="00050137" w:rsidP="004F37CF">
      <w:pPr>
        <w:pBdr>
          <w:top w:val="single" w:sz="4" w:space="1" w:color="auto"/>
          <w:left w:val="single" w:sz="4" w:space="4" w:color="auto"/>
          <w:bottom w:val="single" w:sz="4" w:space="1" w:color="auto"/>
          <w:right w:val="single" w:sz="4" w:space="4" w:color="auto"/>
        </w:pBdr>
        <w:shd w:val="clear" w:color="auto" w:fill="F2F2F2" w:themeFill="background1" w:themeFillShade="F2"/>
        <w:spacing w:line="300" w:lineRule="atLeast"/>
        <w:jc w:val="both"/>
        <w:rPr>
          <w:rFonts w:ascii="Times" w:hAnsi="Times" w:cs="Times"/>
          <w:sz w:val="20"/>
          <w:szCs w:val="20"/>
        </w:rPr>
      </w:pPr>
      <w:bookmarkStart w:id="9" w:name="_Toc358217532"/>
      <w:r w:rsidRPr="00676813">
        <w:rPr>
          <w:rFonts w:cs="Times"/>
          <w:szCs w:val="20"/>
        </w:rPr>
        <w:lastRenderedPageBreak/>
        <w:t xml:space="preserve">At first, common plausibility checks and data validation in accordance with data correction are conducted on single data level – that means that all data reported on household level is used: </w:t>
      </w:r>
    </w:p>
    <w:p w14:paraId="70B7A261" w14:textId="77777777" w:rsidR="00050137" w:rsidRPr="00676813" w:rsidRDefault="00050137" w:rsidP="001A22EF">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 w:lineRule="atLeast"/>
        <w:ind w:left="567" w:hanging="567"/>
        <w:rPr>
          <w:rFonts w:cs="Times"/>
          <w:szCs w:val="20"/>
        </w:rPr>
      </w:pPr>
      <w:r w:rsidRPr="00676813">
        <w:rPr>
          <w:rFonts w:cs="Times"/>
          <w:szCs w:val="20"/>
        </w:rPr>
        <w:t>Using upper thresholds concerning the annual energy consumption of every fuel; unrealistic amounts respectively costs are reduced.</w:t>
      </w:r>
    </w:p>
    <w:p w14:paraId="4FDD5581" w14:textId="77777777" w:rsidR="00050137" w:rsidRPr="00676813" w:rsidRDefault="00050137" w:rsidP="001A22EF">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 w:lineRule="atLeast"/>
        <w:ind w:left="567" w:hanging="567"/>
        <w:rPr>
          <w:rFonts w:cs="Times"/>
          <w:szCs w:val="20"/>
        </w:rPr>
      </w:pPr>
      <w:r w:rsidRPr="00676813">
        <w:rPr>
          <w:rFonts w:cs="Times"/>
          <w:szCs w:val="20"/>
        </w:rPr>
        <w:t>Checks on impossible fuel – purpose combinations and correction if necessary (e.g. district heat, solar energy and heat pumps cannot be used for cooking).</w:t>
      </w:r>
    </w:p>
    <w:p w14:paraId="79260FD9" w14:textId="77777777" w:rsidR="00050137" w:rsidRPr="00676813" w:rsidRDefault="00050137" w:rsidP="001A22EF">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 w:lineRule="atLeast"/>
        <w:ind w:left="567" w:hanging="567"/>
        <w:rPr>
          <w:rFonts w:cs="Times"/>
          <w:szCs w:val="20"/>
        </w:rPr>
      </w:pPr>
      <w:r w:rsidRPr="00676813">
        <w:rPr>
          <w:rFonts w:cs="Times"/>
          <w:szCs w:val="20"/>
        </w:rPr>
        <w:t>Item non response in case of missing amount OR price: completion of pairs of varieties by use of average consumption amounts / prices. Item non response in case of missing amount AND price: calculation of pairs of varieties by use of average consumption depending on the purpose, the fuel and the number of persons in the household.</w:t>
      </w:r>
    </w:p>
    <w:p w14:paraId="443AFDCE" w14:textId="77777777" w:rsidR="00050137" w:rsidRPr="00676813" w:rsidRDefault="00050137" w:rsidP="004F37CF">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spacing w:after="113" w:line="236" w:lineRule="atLeast"/>
        <w:jc w:val="both"/>
        <w:rPr>
          <w:rFonts w:cs="Times"/>
          <w:szCs w:val="20"/>
        </w:rPr>
      </w:pPr>
      <w:r w:rsidRPr="00676813">
        <w:rPr>
          <w:rFonts w:cs="Times"/>
          <w:szCs w:val="20"/>
        </w:rPr>
        <w:t xml:space="preserve">The plausibility checks are separated into two parts: Computer aided checks are run during the interview (software: BLAISE) on single plausibility items (e.g. fuel amounts above average, deviations beyond 50% of the market price). As the data validation can be suppressed during the interview to ensure finishing the survey, these checks have to be implemented in the second plausibility part again and checks or data-validation and - correction are conducted on the overall dataset by use of VBA-routines. </w:t>
      </w:r>
    </w:p>
    <w:p w14:paraId="262798FC" w14:textId="77777777" w:rsidR="00050137" w:rsidRPr="00676813" w:rsidRDefault="00050137" w:rsidP="001A22EF">
      <w:pPr>
        <w:pStyle w:val="Header"/>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13" w:line="236" w:lineRule="atLeast"/>
        <w:ind w:hanging="720"/>
        <w:jc w:val="both"/>
        <w:rPr>
          <w:rFonts w:cs="Times"/>
          <w:b/>
          <w:szCs w:val="20"/>
        </w:rPr>
      </w:pPr>
      <w:r w:rsidRPr="00676813">
        <w:rPr>
          <w:rFonts w:cs="Times"/>
          <w:b/>
          <w:szCs w:val="20"/>
        </w:rPr>
        <w:t xml:space="preserve">Completion and Creation of Pair of </w:t>
      </w:r>
      <w:bookmarkEnd w:id="9"/>
      <w:r w:rsidRPr="00676813">
        <w:rPr>
          <w:rFonts w:cs="Times"/>
          <w:b/>
          <w:szCs w:val="20"/>
        </w:rPr>
        <w:t xml:space="preserve">Variables </w:t>
      </w:r>
    </w:p>
    <w:p w14:paraId="5824CA85" w14:textId="77777777" w:rsidR="00050137" w:rsidRPr="00676813" w:rsidRDefault="00050137" w:rsidP="004F37CF">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line="300" w:lineRule="atLeast"/>
        <w:jc w:val="both"/>
        <w:rPr>
          <w:rFonts w:ascii="Times" w:hAnsi="Times" w:cs="Times"/>
          <w:b/>
          <w:sz w:val="20"/>
          <w:szCs w:val="20"/>
        </w:rPr>
      </w:pPr>
      <w:bookmarkStart w:id="10" w:name="_Toc358217533"/>
      <w:r w:rsidRPr="00676813">
        <w:rPr>
          <w:rFonts w:cs="Times"/>
          <w:b/>
          <w:szCs w:val="20"/>
        </w:rPr>
        <w:t xml:space="preserve">Completion of Pair of Variables in Case of Missing Amounts OR Costs </w:t>
      </w:r>
    </w:p>
    <w:p w14:paraId="167A3B64" w14:textId="77777777" w:rsidR="00050137" w:rsidRPr="00676813" w:rsidRDefault="00050137" w:rsidP="004F37CF">
      <w:pPr>
        <w:pBdr>
          <w:top w:val="single" w:sz="4" w:space="1" w:color="auto"/>
          <w:left w:val="single" w:sz="4" w:space="4" w:color="auto"/>
          <w:bottom w:val="single" w:sz="4" w:space="1" w:color="auto"/>
          <w:right w:val="single" w:sz="4" w:space="4" w:color="auto"/>
        </w:pBdr>
        <w:shd w:val="clear" w:color="auto" w:fill="F2F2F2" w:themeFill="background1" w:themeFillShade="F2"/>
        <w:spacing w:line="300" w:lineRule="atLeast"/>
        <w:rPr>
          <w:rFonts w:cs="Times"/>
          <w:szCs w:val="20"/>
        </w:rPr>
      </w:pPr>
      <w:r w:rsidRPr="00676813">
        <w:rPr>
          <w:rFonts w:cs="Times"/>
          <w:szCs w:val="20"/>
        </w:rPr>
        <w:t xml:space="preserve">Incomplete pair of variables are completed by using average market prices as follows: </w:t>
      </w:r>
    </w:p>
    <w:p w14:paraId="6A453475" w14:textId="77777777" w:rsidR="00050137" w:rsidRPr="00676813" w:rsidRDefault="00050137" w:rsidP="001A22EF">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 w:lineRule="atLeast"/>
        <w:ind w:left="567" w:hanging="567"/>
        <w:rPr>
          <w:rFonts w:cs="Times"/>
          <w:szCs w:val="20"/>
        </w:rPr>
      </w:pPr>
      <w:proofErr w:type="spellStart"/>
      <w:r w:rsidRPr="00676813">
        <w:rPr>
          <w:rFonts w:cs="Times"/>
          <w:szCs w:val="20"/>
        </w:rPr>
        <w:t>Laender</w:t>
      </w:r>
      <w:proofErr w:type="spellEnd"/>
      <w:r w:rsidRPr="00676813">
        <w:rPr>
          <w:rFonts w:cs="Times"/>
          <w:szCs w:val="20"/>
        </w:rPr>
        <w:t>-specific prices for non-interruptible / interruptible electricity and natural gas are based on information given by the energy suppliers (local players) and information derived from annual bills or further sources (e.g. internet publications).</w:t>
      </w:r>
    </w:p>
    <w:p w14:paraId="7BFA5121" w14:textId="77777777" w:rsidR="00050137" w:rsidRPr="00676813" w:rsidRDefault="00050137" w:rsidP="001A22EF">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 w:lineRule="atLeast"/>
        <w:ind w:left="567" w:hanging="567"/>
        <w:rPr>
          <w:rFonts w:cs="Times"/>
          <w:szCs w:val="20"/>
        </w:rPr>
      </w:pPr>
      <w:r w:rsidRPr="00676813">
        <w:rPr>
          <w:rFonts w:cs="Times"/>
          <w:szCs w:val="20"/>
        </w:rPr>
        <w:t xml:space="preserve">Concerning other fuels such as coals or LPG, the average prices are calculated by using the extreme value-adjusted median derived from completely reported pair of varieties of the survey itself. </w:t>
      </w:r>
    </w:p>
    <w:p w14:paraId="4D075D04" w14:textId="77777777" w:rsidR="00050137" w:rsidRPr="00676813" w:rsidRDefault="00050137" w:rsidP="004F37CF">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line="300" w:lineRule="atLeast"/>
        <w:jc w:val="both"/>
        <w:rPr>
          <w:rFonts w:cs="Times"/>
          <w:b/>
          <w:szCs w:val="20"/>
        </w:rPr>
      </w:pPr>
      <w:r w:rsidRPr="00676813">
        <w:rPr>
          <w:rFonts w:cs="Times"/>
          <w:b/>
          <w:szCs w:val="20"/>
        </w:rPr>
        <w:t xml:space="preserve">Creation of Pair of Varieties in Case of Missing Amounts AND Costs </w:t>
      </w:r>
    </w:p>
    <w:p w14:paraId="2E885060" w14:textId="77777777" w:rsidR="00050137" w:rsidRPr="00676813" w:rsidRDefault="00050137" w:rsidP="004F37CF">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spacing w:after="113" w:line="236" w:lineRule="atLeast"/>
        <w:jc w:val="both"/>
        <w:rPr>
          <w:rFonts w:cs="Times"/>
          <w:szCs w:val="20"/>
        </w:rPr>
      </w:pPr>
      <w:r w:rsidRPr="00676813">
        <w:rPr>
          <w:rFonts w:cs="Times"/>
          <w:szCs w:val="20"/>
        </w:rPr>
        <w:t>In case of unknown amount and costs for a fuel used in the household, the fuel amount is calculated by summing up assumed default amounts for the announced end-use categories as follows:</w:t>
      </w:r>
    </w:p>
    <w:p w14:paraId="3E803842" w14:textId="77777777" w:rsidR="00050137" w:rsidRPr="00676813" w:rsidRDefault="00050137" w:rsidP="004F37CF">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line="300" w:lineRule="atLeast"/>
        <w:jc w:val="both"/>
        <w:rPr>
          <w:rFonts w:cs="Times"/>
          <w:b/>
          <w:szCs w:val="20"/>
        </w:rPr>
      </w:pPr>
      <w:r w:rsidRPr="00676813">
        <w:rPr>
          <w:rFonts w:cs="Times"/>
          <w:b/>
          <w:szCs w:val="20"/>
        </w:rPr>
        <w:t xml:space="preserve">Calculation of the Share for Water Heating </w:t>
      </w:r>
    </w:p>
    <w:p w14:paraId="57FB1D75" w14:textId="77777777" w:rsidR="00050137" w:rsidRPr="00676813" w:rsidRDefault="00050137" w:rsidP="004F37CF">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spacing w:after="113" w:line="236" w:lineRule="atLeast"/>
        <w:jc w:val="both"/>
        <w:rPr>
          <w:rFonts w:cs="Times"/>
          <w:szCs w:val="20"/>
        </w:rPr>
      </w:pPr>
      <w:r w:rsidRPr="00676813">
        <w:rPr>
          <w:rFonts w:cs="Times"/>
          <w:szCs w:val="20"/>
        </w:rPr>
        <w:t xml:space="preserve">If a fuel is used for water heating and both the amounts and costs are unknown, the households need for water heating is calculated as a proportion of the average annual consumption based on the number of persons living in the household. In case of using more than one fuel for water heating, the calculated overall amount for water heating is divided by the number of all fuels reported for this end-use category. </w:t>
      </w:r>
    </w:p>
    <w:p w14:paraId="57A5F768" w14:textId="77777777" w:rsidR="00050137" w:rsidRPr="00676813" w:rsidRDefault="00050137" w:rsidP="004F37CF">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line="300" w:lineRule="atLeast"/>
        <w:jc w:val="both"/>
        <w:rPr>
          <w:rFonts w:cs="Times"/>
          <w:b/>
          <w:szCs w:val="20"/>
        </w:rPr>
      </w:pPr>
      <w:r w:rsidRPr="00676813">
        <w:rPr>
          <w:rFonts w:cs="Times"/>
          <w:b/>
          <w:szCs w:val="20"/>
        </w:rPr>
        <w:t xml:space="preserve">Calculation of the Share for Cooking </w:t>
      </w:r>
    </w:p>
    <w:p w14:paraId="15112BD2" w14:textId="77777777" w:rsidR="00050137" w:rsidRPr="00676813" w:rsidRDefault="00050137" w:rsidP="004F37CF">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spacing w:after="113" w:line="236" w:lineRule="atLeast"/>
        <w:jc w:val="both"/>
        <w:rPr>
          <w:rFonts w:cs="Times"/>
          <w:szCs w:val="20"/>
        </w:rPr>
      </w:pPr>
      <w:r w:rsidRPr="00676813">
        <w:rPr>
          <w:rFonts w:cs="Times"/>
          <w:szCs w:val="20"/>
        </w:rPr>
        <w:t xml:space="preserve">In case of missing amounts and costs concerning the end-use category cooking, the amount and corresponding costs are computed as the proportion of average annual consumption based on the number of persons living in the household. In case of using more than one fuel for cooking, the calculated overall amount for cooking is divided by the number of all fuels reported for this end-use category. </w:t>
      </w:r>
    </w:p>
    <w:p w14:paraId="4ECAE55D" w14:textId="77777777" w:rsidR="00050137" w:rsidRPr="00676813" w:rsidRDefault="00050137" w:rsidP="004F37CF">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line="300" w:lineRule="atLeast"/>
        <w:jc w:val="both"/>
        <w:rPr>
          <w:rFonts w:cs="Times"/>
          <w:b/>
          <w:szCs w:val="20"/>
        </w:rPr>
      </w:pPr>
      <w:r w:rsidRPr="00676813">
        <w:rPr>
          <w:rFonts w:cs="Times"/>
          <w:b/>
          <w:szCs w:val="20"/>
        </w:rPr>
        <w:t xml:space="preserve">Calculation of the Share for Space Heating </w:t>
      </w:r>
    </w:p>
    <w:p w14:paraId="58CE04F7" w14:textId="77777777" w:rsidR="00050137" w:rsidRPr="00676813" w:rsidRDefault="00050137" w:rsidP="004F37CF">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spacing w:after="113" w:line="236" w:lineRule="atLeast"/>
        <w:jc w:val="both"/>
        <w:rPr>
          <w:rFonts w:cs="Times"/>
          <w:szCs w:val="20"/>
        </w:rPr>
      </w:pPr>
      <w:r w:rsidRPr="00676813">
        <w:rPr>
          <w:rFonts w:cs="Times"/>
          <w:szCs w:val="20"/>
        </w:rPr>
        <w:t>In contrast to the energy needs for water heating and cooking the energy consumption for space heating does not depend on the number of persons but is highly related to the dwelling´s size and age and the living space. Figures used are split into three construction periods and into three classes of dwelling size.</w:t>
      </w:r>
    </w:p>
    <w:p w14:paraId="72A14BF2" w14:textId="77777777" w:rsidR="00050137" w:rsidRPr="00676813" w:rsidRDefault="00050137" w:rsidP="004F37CF">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spacing w:after="113" w:line="236" w:lineRule="atLeast"/>
        <w:jc w:val="both"/>
        <w:rPr>
          <w:rFonts w:cs="Times"/>
          <w:szCs w:val="20"/>
        </w:rPr>
      </w:pPr>
      <w:r w:rsidRPr="00676813">
        <w:rPr>
          <w:rFonts w:cs="Times"/>
          <w:szCs w:val="20"/>
        </w:rPr>
        <w:lastRenderedPageBreak/>
        <w:t xml:space="preserve">As the number of flats per dwelling as well as the size and the age of the building are provided for every household by means of the Labour Force Survey, the figures for space heating needs are directly applicable to each single data record. Compared with the former method of using </w:t>
      </w:r>
      <w:proofErr w:type="spellStart"/>
      <w:r w:rsidRPr="00676813">
        <w:rPr>
          <w:rFonts w:cs="Times"/>
          <w:szCs w:val="20"/>
        </w:rPr>
        <w:t>Laender</w:t>
      </w:r>
      <w:proofErr w:type="spellEnd"/>
      <w:r w:rsidRPr="00676813">
        <w:rPr>
          <w:rFonts w:cs="Times"/>
          <w:szCs w:val="20"/>
        </w:rPr>
        <w:t xml:space="preserve">-specific averages of fuel-specific energy needs for space heating, the new approach provides much more precise results. </w:t>
      </w:r>
    </w:p>
    <w:p w14:paraId="30EB8969" w14:textId="77777777" w:rsidR="00050137" w:rsidRPr="00676813" w:rsidRDefault="00050137" w:rsidP="004F37CF">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line="300" w:lineRule="atLeast"/>
        <w:jc w:val="both"/>
        <w:rPr>
          <w:rFonts w:cs="Times"/>
          <w:b/>
          <w:szCs w:val="20"/>
        </w:rPr>
      </w:pPr>
      <w:r w:rsidRPr="00676813">
        <w:rPr>
          <w:rFonts w:cs="Times"/>
          <w:b/>
          <w:szCs w:val="20"/>
        </w:rPr>
        <w:t>Calculation of the Share for Space Heating in Case of more than one fuel used for Space Heating calculation</w:t>
      </w:r>
    </w:p>
    <w:p w14:paraId="57035CC8" w14:textId="546578B0" w:rsidR="00050137" w:rsidRPr="00676813" w:rsidRDefault="00050137" w:rsidP="004F37CF">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spacing w:after="113" w:line="236" w:lineRule="atLeast"/>
        <w:jc w:val="both"/>
        <w:rPr>
          <w:rFonts w:cs="Times"/>
          <w:szCs w:val="20"/>
        </w:rPr>
      </w:pPr>
      <w:r w:rsidRPr="00676813">
        <w:rPr>
          <w:rFonts w:cs="Times"/>
          <w:szCs w:val="20"/>
        </w:rPr>
        <w:t>In case of 2 or more fuels used for space heating, the calculation of the overall share for space heating in the household is much more complex and therefore expanded by the following factors:</w:t>
      </w:r>
      <w:r w:rsidR="00EE7521">
        <w:rPr>
          <w:rFonts w:cs="Times"/>
          <w:szCs w:val="20"/>
        </w:rPr>
        <w:t xml:space="preserve"> </w:t>
      </w:r>
    </w:p>
    <w:p w14:paraId="370B441E" w14:textId="77777777" w:rsidR="00050137" w:rsidRPr="00676813" w:rsidRDefault="00050137" w:rsidP="001A22EF">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 w:lineRule="atLeast"/>
        <w:ind w:left="567" w:hanging="567"/>
        <w:rPr>
          <w:rFonts w:cs="Times"/>
          <w:szCs w:val="20"/>
        </w:rPr>
      </w:pPr>
      <w:r w:rsidRPr="00676813">
        <w:rPr>
          <w:rFonts w:cs="Times"/>
          <w:szCs w:val="20"/>
        </w:rPr>
        <w:t xml:space="preserve">The 50% lower threshold of the assumed final energy consumption (FEC), </w:t>
      </w:r>
    </w:p>
    <w:p w14:paraId="4640F61C" w14:textId="77777777" w:rsidR="00050137" w:rsidRPr="00676813" w:rsidRDefault="00050137" w:rsidP="001A22EF">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 w:lineRule="atLeast"/>
        <w:ind w:left="567" w:hanging="567"/>
        <w:rPr>
          <w:rFonts w:cs="Times"/>
          <w:szCs w:val="20"/>
        </w:rPr>
      </w:pPr>
      <w:r w:rsidRPr="00676813">
        <w:rPr>
          <w:rFonts w:cs="Times"/>
          <w:szCs w:val="20"/>
        </w:rPr>
        <w:t>The total of the reported FEC at this point of calculation,</w:t>
      </w:r>
    </w:p>
    <w:p w14:paraId="452E6763" w14:textId="77777777" w:rsidR="00050137" w:rsidRPr="00676813" w:rsidRDefault="00050137" w:rsidP="001A22EF">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 w:lineRule="atLeast"/>
        <w:ind w:left="567" w:hanging="567"/>
        <w:rPr>
          <w:rFonts w:cs="Times"/>
          <w:szCs w:val="20"/>
        </w:rPr>
      </w:pPr>
      <w:r w:rsidRPr="00676813">
        <w:rPr>
          <w:rFonts w:cs="Times"/>
          <w:szCs w:val="20"/>
        </w:rPr>
        <w:t>The heating system in forms of a single heater or central heating system and</w:t>
      </w:r>
    </w:p>
    <w:p w14:paraId="20412B4A" w14:textId="77777777" w:rsidR="00050137" w:rsidRPr="00676813" w:rsidRDefault="00050137" w:rsidP="001A22EF">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 w:lineRule="atLeast"/>
        <w:ind w:left="567" w:hanging="567"/>
        <w:rPr>
          <w:rFonts w:cs="Times"/>
          <w:szCs w:val="20"/>
        </w:rPr>
      </w:pPr>
      <w:r w:rsidRPr="00676813">
        <w:rPr>
          <w:rFonts w:cs="Times"/>
          <w:szCs w:val="20"/>
        </w:rPr>
        <w:t xml:space="preserve">The predefinition of the share for space heating concerning the fuel predominantly used for space heating to 70% of all fuels used for space heating (the percentage of 30% is split in equal shares to the remaining fuels). </w:t>
      </w:r>
    </w:p>
    <w:p w14:paraId="7F26860D" w14:textId="77777777" w:rsidR="00050137" w:rsidRPr="00676813" w:rsidRDefault="00050137" w:rsidP="004F37CF">
      <w:pPr>
        <w:pBdr>
          <w:top w:val="single" w:sz="4" w:space="1" w:color="auto"/>
          <w:left w:val="single" w:sz="4" w:space="4" w:color="auto"/>
          <w:bottom w:val="single" w:sz="4" w:space="1" w:color="auto"/>
          <w:right w:val="single" w:sz="4" w:space="4" w:color="auto"/>
        </w:pBdr>
        <w:shd w:val="clear" w:color="auto" w:fill="F2F2F2" w:themeFill="background1" w:themeFillShade="F2"/>
        <w:spacing w:line="300" w:lineRule="atLeast"/>
        <w:jc w:val="both"/>
        <w:rPr>
          <w:rFonts w:cs="Times"/>
          <w:szCs w:val="20"/>
        </w:rPr>
      </w:pPr>
      <w:r w:rsidRPr="00676813">
        <w:rPr>
          <w:rFonts w:cs="Times"/>
          <w:szCs w:val="20"/>
        </w:rPr>
        <w:t xml:space="preserve">These factors are combined to calculate the share for space heating of one household as follows: </w:t>
      </w:r>
    </w:p>
    <w:p w14:paraId="03F1AE91" w14:textId="77777777" w:rsidR="00050137" w:rsidRPr="00676813" w:rsidRDefault="00050137" w:rsidP="001A22EF">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 w:lineRule="atLeast"/>
        <w:ind w:left="567" w:hanging="567"/>
        <w:rPr>
          <w:rFonts w:cs="Times"/>
          <w:szCs w:val="20"/>
        </w:rPr>
      </w:pPr>
      <w:r w:rsidRPr="00676813">
        <w:rPr>
          <w:rFonts w:cs="Times"/>
          <w:szCs w:val="20"/>
        </w:rPr>
        <w:t xml:space="preserve">If the sum of the calculated energy needs for water heating and cooking, all other reported amounts and 70% of the calculated share for space heating concerning the fuel predominantly used for space heating is less than 50% of the lower threshold of the assumed FEC, the calculated share for the fuel used predominantly for heating amounts to 70% whereas 30% account for the additional heating fuels with unknown amounts. </w:t>
      </w:r>
    </w:p>
    <w:p w14:paraId="69C29E4E" w14:textId="77777777" w:rsidR="00050137" w:rsidRPr="00676813" w:rsidRDefault="00050137" w:rsidP="001A22EF">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 w:lineRule="atLeast"/>
        <w:ind w:left="567" w:hanging="567"/>
        <w:rPr>
          <w:rFonts w:cs="Times"/>
          <w:szCs w:val="20"/>
        </w:rPr>
      </w:pPr>
      <w:r w:rsidRPr="00676813">
        <w:rPr>
          <w:rFonts w:cs="Times"/>
          <w:szCs w:val="20"/>
        </w:rPr>
        <w:t xml:space="preserve">If the sum (see above) is equal or above the 50% lower threshold, the share for space heating concerning the predominantly used heating fuel is not assumed to account for 70% but to 100%. Further shares for space heating of additional heating fuels are not calculated with the exception of natural gas, wood pellets, wood chips, solar heat and heat pumps. </w:t>
      </w:r>
    </w:p>
    <w:p w14:paraId="6A4007ED" w14:textId="77777777" w:rsidR="00050137" w:rsidRPr="00676813" w:rsidRDefault="00050137" w:rsidP="001A22EF">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 w:lineRule="atLeast"/>
        <w:ind w:left="567" w:hanging="567"/>
        <w:rPr>
          <w:rFonts w:cs="Times"/>
          <w:szCs w:val="20"/>
        </w:rPr>
      </w:pPr>
      <w:r w:rsidRPr="00676813">
        <w:rPr>
          <w:rFonts w:cs="Times"/>
          <w:szCs w:val="20"/>
        </w:rPr>
        <w:t xml:space="preserve">Shares for space heating of fuels that are NOT the predominantly heating fuel represent the remaining 30% and are split in equal parts. </w:t>
      </w:r>
    </w:p>
    <w:p w14:paraId="357CF706" w14:textId="77777777" w:rsidR="00050137" w:rsidRPr="00676813" w:rsidRDefault="00050137" w:rsidP="004F37CF">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spacing w:after="113" w:line="236" w:lineRule="atLeast"/>
        <w:jc w:val="both"/>
        <w:rPr>
          <w:rFonts w:cs="Times"/>
          <w:szCs w:val="20"/>
        </w:rPr>
      </w:pPr>
      <w:r w:rsidRPr="00676813">
        <w:rPr>
          <w:rFonts w:cs="Times"/>
          <w:szCs w:val="20"/>
        </w:rPr>
        <w:t xml:space="preserve">After computing the single shares the overall fuel consumption and corresponding costs are calculated in the following order: water heating; cooking; space heating. If a particular fuel is allocated to more than one end-use category, the single shares are summed up and for this total the costs are calculated by use of the average market prices. </w:t>
      </w:r>
    </w:p>
    <w:p w14:paraId="161D788D" w14:textId="77777777" w:rsidR="00050137" w:rsidRPr="00676813" w:rsidRDefault="00050137" w:rsidP="001A22EF">
      <w:pPr>
        <w:pStyle w:val="Header"/>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13" w:line="236" w:lineRule="atLeast"/>
        <w:ind w:hanging="720"/>
        <w:jc w:val="both"/>
        <w:rPr>
          <w:rFonts w:cs="Times"/>
          <w:b/>
          <w:szCs w:val="20"/>
        </w:rPr>
      </w:pPr>
      <w:r w:rsidRPr="00676813">
        <w:rPr>
          <w:rFonts w:cs="Times"/>
          <w:b/>
          <w:szCs w:val="20"/>
        </w:rPr>
        <w:t>Calculation of the annual Final Energy Consumption (FEC)</w:t>
      </w:r>
      <w:bookmarkEnd w:id="10"/>
    </w:p>
    <w:p w14:paraId="03A664C3" w14:textId="77777777" w:rsidR="00050137" w:rsidRPr="00676813" w:rsidRDefault="00050137" w:rsidP="004F37CF">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spacing w:after="113" w:line="236" w:lineRule="atLeast"/>
        <w:jc w:val="both"/>
        <w:rPr>
          <w:rFonts w:ascii="Times" w:hAnsi="Times" w:cs="Times"/>
          <w:sz w:val="20"/>
          <w:szCs w:val="20"/>
        </w:rPr>
      </w:pPr>
      <w:r w:rsidRPr="00676813">
        <w:rPr>
          <w:rFonts w:cs="Times"/>
          <w:szCs w:val="20"/>
        </w:rPr>
        <w:t xml:space="preserve">The consumed amounts that are reported in various physical units are converted (standardized) to kWh by means of calorific values. Default values of the average annual consumption per end-use category (space heating, water heating, cooking) enable the allocation of consumption shares for fuels where the amount as well as the costs have not been reported. Furthermore, default values are used to calculate the assumed FEC (= average energy need for space heating + average energy need for water heating + average energy need for cooking) of one household. </w:t>
      </w:r>
    </w:p>
    <w:p w14:paraId="21742E69" w14:textId="77777777" w:rsidR="00A12C55" w:rsidRPr="00676813" w:rsidRDefault="00A12C55" w:rsidP="00A12C55">
      <w:r w:rsidRPr="00676813">
        <w:t>Other country cases</w:t>
      </w:r>
    </w:p>
    <w:p w14:paraId="01253403" w14:textId="77777777" w:rsidR="00A12C55" w:rsidRPr="00676813" w:rsidRDefault="00A12C55" w:rsidP="00A12C55">
      <w:pPr>
        <w:rPr>
          <w:b/>
          <w:lang w:val="lv-LV"/>
        </w:rPr>
      </w:pPr>
      <w:r w:rsidRPr="00676813">
        <w:rPr>
          <w:b/>
          <w:lang w:val="lv-LV"/>
        </w:rPr>
        <w:t>UK?</w:t>
      </w:r>
      <w:r w:rsidR="009C7F45">
        <w:rPr>
          <w:b/>
          <w:lang w:val="lv-LV"/>
        </w:rPr>
        <w:t xml:space="preserve">, </w:t>
      </w:r>
      <w:r w:rsidRPr="00676813">
        <w:rPr>
          <w:b/>
          <w:lang w:val="lv-LV"/>
        </w:rPr>
        <w:t>Canada?</w:t>
      </w:r>
      <w:r w:rsidR="009C7F45">
        <w:rPr>
          <w:b/>
          <w:lang w:val="lv-LV"/>
        </w:rPr>
        <w:t xml:space="preserve">, </w:t>
      </w:r>
      <w:r w:rsidRPr="00676813">
        <w:rPr>
          <w:b/>
          <w:lang w:val="lv-LV"/>
        </w:rPr>
        <w:t>Australia?</w:t>
      </w:r>
      <w:r w:rsidR="009C7F45">
        <w:rPr>
          <w:b/>
          <w:lang w:val="lv-LV"/>
        </w:rPr>
        <w:t xml:space="preserve">, </w:t>
      </w:r>
      <w:r w:rsidRPr="00676813">
        <w:rPr>
          <w:b/>
          <w:lang w:val="lv-LV"/>
        </w:rPr>
        <w:t>Ghana?</w:t>
      </w:r>
      <w:r w:rsidR="009C7F45">
        <w:rPr>
          <w:b/>
          <w:lang w:val="lv-LV"/>
        </w:rPr>
        <w:t xml:space="preserve">, </w:t>
      </w:r>
      <w:r w:rsidRPr="00676813">
        <w:rPr>
          <w:b/>
          <w:lang w:val="lv-LV"/>
        </w:rPr>
        <w:t>Azerbaijan?</w:t>
      </w:r>
      <w:r w:rsidR="009C7F45">
        <w:rPr>
          <w:b/>
          <w:lang w:val="lv-LV"/>
        </w:rPr>
        <w:t xml:space="preserve">, </w:t>
      </w:r>
      <w:r w:rsidRPr="00676813">
        <w:rPr>
          <w:b/>
          <w:lang w:val="lv-LV"/>
        </w:rPr>
        <w:t>Sweden?</w:t>
      </w:r>
      <w:r w:rsidR="009C7F45">
        <w:rPr>
          <w:b/>
          <w:lang w:val="lv-LV"/>
        </w:rPr>
        <w:t xml:space="preserve">, </w:t>
      </w:r>
      <w:r w:rsidRPr="00676813">
        <w:rPr>
          <w:b/>
          <w:lang w:val="lv-LV"/>
        </w:rPr>
        <w:t>Denmark?</w:t>
      </w:r>
      <w:r w:rsidR="009C7F45">
        <w:rPr>
          <w:b/>
          <w:lang w:val="lv-LV"/>
        </w:rPr>
        <w:t>, Fin</w:t>
      </w:r>
      <w:r w:rsidRPr="00676813">
        <w:rPr>
          <w:b/>
          <w:lang w:val="lv-LV"/>
        </w:rPr>
        <w:t>land?</w:t>
      </w:r>
      <w:r w:rsidR="009C7F45">
        <w:rPr>
          <w:b/>
          <w:lang w:val="lv-LV"/>
        </w:rPr>
        <w:t xml:space="preserve">, </w:t>
      </w:r>
      <w:r w:rsidRPr="00676813">
        <w:rPr>
          <w:b/>
          <w:lang w:val="lv-LV"/>
        </w:rPr>
        <w:t>South Africa?</w:t>
      </w:r>
      <w:r w:rsidR="009C7F45">
        <w:rPr>
          <w:b/>
          <w:lang w:val="lv-LV"/>
        </w:rPr>
        <w:t xml:space="preserve">, </w:t>
      </w:r>
      <w:r w:rsidRPr="00676813">
        <w:rPr>
          <w:b/>
          <w:lang w:val="lv-LV"/>
        </w:rPr>
        <w:t>Russia?</w:t>
      </w:r>
      <w:r w:rsidR="009C7F45">
        <w:rPr>
          <w:b/>
          <w:lang w:val="lv-LV"/>
        </w:rPr>
        <w:t xml:space="preserve">, </w:t>
      </w:r>
      <w:r w:rsidRPr="00676813">
        <w:rPr>
          <w:b/>
          <w:lang w:val="lv-LV"/>
        </w:rPr>
        <w:t>India?</w:t>
      </w:r>
      <w:r w:rsidR="009C7F45">
        <w:rPr>
          <w:b/>
          <w:lang w:val="lv-LV"/>
        </w:rPr>
        <w:t xml:space="preserve">, </w:t>
      </w:r>
      <w:r w:rsidRPr="00676813">
        <w:rPr>
          <w:b/>
          <w:lang w:val="lv-LV"/>
        </w:rPr>
        <w:t>Norway?</w:t>
      </w:r>
      <w:r w:rsidR="009C7F45">
        <w:rPr>
          <w:b/>
          <w:lang w:val="lv-LV"/>
        </w:rPr>
        <w:t xml:space="preserve">, </w:t>
      </w:r>
      <w:r w:rsidRPr="00676813">
        <w:rPr>
          <w:b/>
          <w:lang w:val="lv-LV"/>
        </w:rPr>
        <w:t>Malaysia?</w:t>
      </w:r>
      <w:r w:rsidR="009C7F45">
        <w:rPr>
          <w:b/>
          <w:lang w:val="lv-LV"/>
        </w:rPr>
        <w:t xml:space="preserve">, </w:t>
      </w:r>
      <w:r w:rsidRPr="00676813">
        <w:rPr>
          <w:b/>
          <w:lang w:val="lv-LV"/>
        </w:rPr>
        <w:t>Ireland?</w:t>
      </w:r>
      <w:r w:rsidR="009C7F45">
        <w:rPr>
          <w:b/>
          <w:lang w:val="lv-LV"/>
        </w:rPr>
        <w:t xml:space="preserve">, </w:t>
      </w:r>
      <w:r w:rsidRPr="00676813">
        <w:rPr>
          <w:b/>
          <w:lang w:val="lv-LV"/>
        </w:rPr>
        <w:t>Netherlands?</w:t>
      </w:r>
    </w:p>
    <w:p w14:paraId="0A35E4BA" w14:textId="77777777" w:rsidR="00ED64D0" w:rsidRPr="00676813" w:rsidRDefault="00ED64D0" w:rsidP="00272CC0">
      <w:pPr>
        <w:rPr>
          <w:lang w:val="en-US"/>
        </w:rPr>
      </w:pPr>
      <w:r w:rsidRPr="00676813">
        <w:rPr>
          <w:lang w:val="en-US"/>
        </w:rPr>
        <w:t>Other (frequent) reasons for modeling are:</w:t>
      </w:r>
    </w:p>
    <w:p w14:paraId="50946223" w14:textId="7F11A4F3" w:rsidR="00ED64D0" w:rsidRPr="00676813" w:rsidRDefault="00ED64D0" w:rsidP="001A22EF">
      <w:pPr>
        <w:pStyle w:val="ListParagraph"/>
        <w:numPr>
          <w:ilvl w:val="0"/>
          <w:numId w:val="24"/>
        </w:numPr>
        <w:spacing w:line="240" w:lineRule="auto"/>
        <w:ind w:left="851"/>
        <w:jc w:val="both"/>
        <w:rPr>
          <w:lang w:val="en-US"/>
        </w:rPr>
      </w:pPr>
      <w:r w:rsidRPr="00676813">
        <w:rPr>
          <w:lang w:val="en-US"/>
        </w:rPr>
        <w:t>Conversion of the surveyed period to calendar years</w:t>
      </w:r>
    </w:p>
    <w:p w14:paraId="6785C180" w14:textId="77777777" w:rsidR="00ED64D0" w:rsidRPr="00676813" w:rsidRDefault="00ED64D0" w:rsidP="001A22EF">
      <w:pPr>
        <w:pStyle w:val="ListParagraph"/>
        <w:numPr>
          <w:ilvl w:val="0"/>
          <w:numId w:val="24"/>
        </w:numPr>
        <w:spacing w:line="240" w:lineRule="auto"/>
        <w:ind w:left="851"/>
        <w:jc w:val="both"/>
        <w:rPr>
          <w:lang w:val="en-US"/>
        </w:rPr>
      </w:pPr>
      <w:r w:rsidRPr="00676813">
        <w:rPr>
          <w:lang w:val="en-US"/>
        </w:rPr>
        <w:t>Climate adjustment</w:t>
      </w:r>
    </w:p>
    <w:p w14:paraId="115D397F" w14:textId="77777777" w:rsidR="00ED64D0" w:rsidRPr="00676813" w:rsidRDefault="00ED64D0" w:rsidP="001A22EF">
      <w:pPr>
        <w:pStyle w:val="ListParagraph"/>
        <w:numPr>
          <w:ilvl w:val="0"/>
          <w:numId w:val="24"/>
        </w:numPr>
        <w:spacing w:line="240" w:lineRule="auto"/>
        <w:ind w:left="851"/>
        <w:jc w:val="both"/>
        <w:rPr>
          <w:lang w:val="en-US"/>
        </w:rPr>
      </w:pPr>
      <w:r w:rsidRPr="00676813">
        <w:rPr>
          <w:lang w:val="en-US"/>
        </w:rPr>
        <w:t>Extrapolation with additional (administrative) data</w:t>
      </w:r>
    </w:p>
    <w:p w14:paraId="4073897D" w14:textId="77777777" w:rsidR="00ED64D0" w:rsidRPr="00676813" w:rsidRDefault="00ED64D0" w:rsidP="001A22EF">
      <w:pPr>
        <w:pStyle w:val="ListParagraph"/>
        <w:numPr>
          <w:ilvl w:val="0"/>
          <w:numId w:val="24"/>
        </w:numPr>
        <w:spacing w:line="240" w:lineRule="auto"/>
        <w:ind w:left="851"/>
        <w:jc w:val="both"/>
        <w:rPr>
          <w:lang w:val="en-US"/>
        </w:rPr>
      </w:pPr>
      <w:r w:rsidRPr="00676813">
        <w:rPr>
          <w:lang w:val="en-US"/>
        </w:rPr>
        <w:lastRenderedPageBreak/>
        <w:t>Matching survey results</w:t>
      </w:r>
    </w:p>
    <w:p w14:paraId="2B6E5DC6" w14:textId="77777777" w:rsidR="00ED64D0" w:rsidRPr="00676813" w:rsidRDefault="00ED64D0" w:rsidP="001A22EF">
      <w:pPr>
        <w:pStyle w:val="ListParagraph"/>
        <w:numPr>
          <w:ilvl w:val="0"/>
          <w:numId w:val="24"/>
        </w:numPr>
        <w:spacing w:line="240" w:lineRule="auto"/>
        <w:ind w:left="851"/>
        <w:jc w:val="both"/>
        <w:rPr>
          <w:lang w:val="en-US"/>
        </w:rPr>
      </w:pPr>
      <w:r w:rsidRPr="00676813">
        <w:rPr>
          <w:lang w:val="en-US"/>
        </w:rPr>
        <w:t>Data validation</w:t>
      </w:r>
    </w:p>
    <w:p w14:paraId="441034D8" w14:textId="3653AD1A" w:rsidR="00ED64D0" w:rsidRPr="00676813" w:rsidRDefault="00ED64D0" w:rsidP="001A22EF">
      <w:pPr>
        <w:pStyle w:val="ListParagraph"/>
        <w:numPr>
          <w:ilvl w:val="0"/>
          <w:numId w:val="24"/>
        </w:numPr>
        <w:spacing w:line="240" w:lineRule="auto"/>
        <w:ind w:left="851"/>
        <w:jc w:val="both"/>
        <w:rPr>
          <w:lang w:val="en-US"/>
        </w:rPr>
      </w:pPr>
      <w:r w:rsidRPr="00676813">
        <w:rPr>
          <w:lang w:val="en-US"/>
        </w:rPr>
        <w:t>Estimat</w:t>
      </w:r>
      <w:r w:rsidR="003B1EA4">
        <w:rPr>
          <w:lang w:val="en-US"/>
        </w:rPr>
        <w:t>ion of</w:t>
      </w:r>
      <w:r w:rsidRPr="00676813">
        <w:rPr>
          <w:lang w:val="en-US"/>
        </w:rPr>
        <w:t xml:space="preserve"> no</w:t>
      </w:r>
      <w:r w:rsidR="003B1EA4">
        <w:rPr>
          <w:lang w:val="en-US"/>
        </w:rPr>
        <w:t>n-</w:t>
      </w:r>
      <w:r w:rsidRPr="00676813">
        <w:rPr>
          <w:lang w:val="en-US"/>
        </w:rPr>
        <w:t xml:space="preserve">metered consumption </w:t>
      </w:r>
      <w:r w:rsidR="003B1EA4">
        <w:rPr>
          <w:lang w:val="en-US"/>
        </w:rPr>
        <w:t>or</w:t>
      </w:r>
      <w:r w:rsidR="003B1EA4" w:rsidRPr="00676813">
        <w:rPr>
          <w:lang w:val="en-US"/>
        </w:rPr>
        <w:t xml:space="preserve"> </w:t>
      </w:r>
      <w:r w:rsidRPr="00676813">
        <w:rPr>
          <w:lang w:val="en-US"/>
        </w:rPr>
        <w:t>no</w:t>
      </w:r>
      <w:r w:rsidR="003B1EA4">
        <w:rPr>
          <w:lang w:val="en-US"/>
        </w:rPr>
        <w:t>n-</w:t>
      </w:r>
      <w:r w:rsidRPr="00676813">
        <w:rPr>
          <w:lang w:val="en-US"/>
        </w:rPr>
        <w:t>purchased fuels like solar and ambient heat</w:t>
      </w:r>
    </w:p>
    <w:p w14:paraId="3CC819FC" w14:textId="276C05CF" w:rsidR="00ED64D0" w:rsidRPr="00676813" w:rsidRDefault="00ED64D0" w:rsidP="001A22EF">
      <w:pPr>
        <w:pStyle w:val="ListParagraph"/>
        <w:numPr>
          <w:ilvl w:val="0"/>
          <w:numId w:val="24"/>
        </w:numPr>
        <w:spacing w:line="240" w:lineRule="auto"/>
        <w:ind w:left="851"/>
        <w:jc w:val="both"/>
        <w:rPr>
          <w:lang w:val="en-US"/>
        </w:rPr>
      </w:pPr>
      <w:r w:rsidRPr="00676813">
        <w:rPr>
          <w:lang w:val="en-US"/>
        </w:rPr>
        <w:t>Estimat</w:t>
      </w:r>
      <w:r w:rsidR="003B1EA4">
        <w:rPr>
          <w:lang w:val="en-US"/>
        </w:rPr>
        <w:t>ion of</w:t>
      </w:r>
      <w:r w:rsidRPr="00676813">
        <w:rPr>
          <w:lang w:val="en-US"/>
        </w:rPr>
        <w:t xml:space="preserve"> consumption of no</w:t>
      </w:r>
      <w:r w:rsidR="003B1EA4">
        <w:rPr>
          <w:lang w:val="en-US"/>
        </w:rPr>
        <w:t>n-</w:t>
      </w:r>
      <w:r w:rsidRPr="00676813">
        <w:rPr>
          <w:lang w:val="en-US"/>
        </w:rPr>
        <w:t>standardized biofuels, mainly fuel wood</w:t>
      </w:r>
    </w:p>
    <w:p w14:paraId="6399B861" w14:textId="6AD00A5B" w:rsidR="00ED64D0" w:rsidRPr="00676813" w:rsidRDefault="003B1EA4" w:rsidP="001A22EF">
      <w:pPr>
        <w:pStyle w:val="ListParagraph"/>
        <w:numPr>
          <w:ilvl w:val="0"/>
          <w:numId w:val="24"/>
        </w:numPr>
        <w:spacing w:line="240" w:lineRule="auto"/>
        <w:ind w:left="851"/>
        <w:jc w:val="both"/>
        <w:rPr>
          <w:lang w:val="en-US"/>
        </w:rPr>
      </w:pPr>
      <w:r>
        <w:rPr>
          <w:lang w:val="en-US"/>
        </w:rPr>
        <w:t>Calculation of u</w:t>
      </w:r>
      <w:r w:rsidR="00ED64D0" w:rsidRPr="00676813">
        <w:rPr>
          <w:lang w:val="en-US"/>
        </w:rPr>
        <w:t xml:space="preserve">seful heat </w:t>
      </w:r>
    </w:p>
    <w:p w14:paraId="1B43474B" w14:textId="77777777" w:rsidR="00ED64D0" w:rsidRPr="00676813" w:rsidRDefault="00ED64D0" w:rsidP="00ED64D0">
      <w:pPr>
        <w:spacing w:before="120"/>
        <w:jc w:val="both"/>
        <w:rPr>
          <w:lang w:val="en-US"/>
        </w:rPr>
      </w:pPr>
      <w:r w:rsidRPr="00676813">
        <w:rPr>
          <w:lang w:val="en-US"/>
        </w:rPr>
        <w:t>Depending on the purpose different modeling parameters can be applied. Typical model assumptions used by a large number of countries are:</w:t>
      </w:r>
    </w:p>
    <w:p w14:paraId="7F12CADB" w14:textId="34D708E7" w:rsidR="000A502D" w:rsidRPr="00B947FC" w:rsidRDefault="000A502D" w:rsidP="00B947FC">
      <w:pPr>
        <w:pStyle w:val="ListParagraph"/>
        <w:numPr>
          <w:ilvl w:val="0"/>
          <w:numId w:val="31"/>
        </w:numPr>
        <w:spacing w:after="113" w:line="236" w:lineRule="atLeast"/>
        <w:jc w:val="both"/>
        <w:rPr>
          <w:rFonts w:cs="Times"/>
          <w:szCs w:val="20"/>
        </w:rPr>
      </w:pPr>
      <w:r w:rsidRPr="00B947FC">
        <w:rPr>
          <w:rFonts w:cs="Times"/>
          <w:szCs w:val="20"/>
        </w:rPr>
        <w:t xml:space="preserve">Heating degree days are </w:t>
      </w:r>
      <w:r w:rsidR="001D57C0" w:rsidRPr="00B947FC">
        <w:rPr>
          <w:rFonts w:cs="Times"/>
          <w:szCs w:val="20"/>
        </w:rPr>
        <w:t xml:space="preserve">normally </w:t>
      </w:r>
      <w:r w:rsidRPr="00B947FC">
        <w:rPr>
          <w:rFonts w:cs="Times"/>
          <w:szCs w:val="20"/>
        </w:rPr>
        <w:t xml:space="preserve">used </w:t>
      </w:r>
      <w:r w:rsidR="001D57C0" w:rsidRPr="00B947FC">
        <w:rPr>
          <w:rFonts w:cs="Times"/>
          <w:szCs w:val="20"/>
        </w:rPr>
        <w:t xml:space="preserve">in </w:t>
      </w:r>
      <w:r w:rsidRPr="00B947FC">
        <w:rPr>
          <w:rFonts w:cs="Times"/>
          <w:szCs w:val="20"/>
        </w:rPr>
        <w:t>climate correction and extrapolation of heating shares of overall energy consumption. For the time being, a common agreed</w:t>
      </w:r>
      <w:r w:rsidR="00E004D8" w:rsidRPr="00B947FC">
        <w:rPr>
          <w:rFonts w:cs="Times"/>
          <w:szCs w:val="20"/>
        </w:rPr>
        <w:t>-upon</w:t>
      </w:r>
      <w:r w:rsidRPr="00B947FC">
        <w:rPr>
          <w:rFonts w:cs="Times"/>
          <w:szCs w:val="20"/>
        </w:rPr>
        <w:t xml:space="preserve"> approach</w:t>
      </w:r>
      <w:r w:rsidR="00E004D8" w:rsidRPr="00B947FC">
        <w:rPr>
          <w:rFonts w:cs="Times"/>
          <w:szCs w:val="20"/>
        </w:rPr>
        <w:t xml:space="preserve"> does not exist</w:t>
      </w:r>
      <w:r w:rsidRPr="00B947FC">
        <w:rPr>
          <w:rFonts w:cs="Times"/>
          <w:szCs w:val="20"/>
        </w:rPr>
        <w:t xml:space="preserve">. In the box below, the 15°/18° approach used by EUROSTAT is </w:t>
      </w:r>
      <w:r w:rsidR="00E004D8" w:rsidRPr="00B947FC">
        <w:rPr>
          <w:rFonts w:cs="Times"/>
          <w:szCs w:val="20"/>
        </w:rPr>
        <w:t xml:space="preserve">provided </w:t>
      </w:r>
      <w:r w:rsidRPr="00B947FC">
        <w:rPr>
          <w:rFonts w:cs="Times"/>
          <w:szCs w:val="20"/>
        </w:rPr>
        <w:t xml:space="preserve">as </w:t>
      </w:r>
      <w:r w:rsidR="00E004D8" w:rsidRPr="00B947FC">
        <w:rPr>
          <w:rFonts w:cs="Times"/>
          <w:szCs w:val="20"/>
        </w:rPr>
        <w:t xml:space="preserve">an </w:t>
      </w:r>
      <w:r w:rsidRPr="00B947FC">
        <w:rPr>
          <w:rFonts w:cs="Times"/>
          <w:szCs w:val="20"/>
        </w:rPr>
        <w:t xml:space="preserve">example. </w:t>
      </w:r>
    </w:p>
    <w:p w14:paraId="0EFD1FC2" w14:textId="77777777" w:rsidR="000A502D" w:rsidRPr="00676813" w:rsidRDefault="000A502D" w:rsidP="000A502D">
      <w:pPr>
        <w:pBdr>
          <w:top w:val="single" w:sz="6" w:space="5" w:color="auto"/>
          <w:left w:val="single" w:sz="6" w:space="0" w:color="auto"/>
          <w:bottom w:val="single" w:sz="6" w:space="5" w:color="auto"/>
          <w:right w:val="single" w:sz="6" w:space="0" w:color="auto"/>
        </w:pBdr>
        <w:shd w:val="pct10" w:color="000000" w:fill="FFFFFF"/>
        <w:spacing w:after="113" w:line="236" w:lineRule="atLeast"/>
        <w:rPr>
          <w:rFonts w:cs="Times New Roman"/>
          <w:szCs w:val="24"/>
        </w:rPr>
      </w:pPr>
      <w:r w:rsidRPr="00676813">
        <w:rPr>
          <w:b/>
        </w:rPr>
        <w:t>Heating degree day</w:t>
      </w:r>
      <w:r w:rsidRPr="00676813">
        <w:t xml:space="preserve"> (HDD) = Sum of differences between a given indoor temperature (BT = 18° C) and the daily average outdoor temperature, if latter is lower than an assumed limit for heating of 15° C (Model 15/18).</w:t>
      </w:r>
    </w:p>
    <w:p w14:paraId="1FB8140B" w14:textId="77777777" w:rsidR="000A502D" w:rsidRPr="00676813" w:rsidRDefault="000A502D" w:rsidP="000A502D">
      <w:pPr>
        <w:pBdr>
          <w:top w:val="single" w:sz="6" w:space="5" w:color="auto"/>
          <w:left w:val="single" w:sz="6" w:space="0" w:color="auto"/>
          <w:bottom w:val="single" w:sz="6" w:space="5" w:color="auto"/>
          <w:right w:val="single" w:sz="6" w:space="0" w:color="auto"/>
        </w:pBdr>
        <w:shd w:val="pct10" w:color="000000" w:fill="FFFFFF"/>
        <w:spacing w:after="113" w:line="236" w:lineRule="atLeast"/>
      </w:pPr>
      <w:r w:rsidRPr="00676813">
        <w:rPr>
          <w:b/>
        </w:rPr>
        <w:t>Heating degree</w:t>
      </w:r>
      <w:r w:rsidRPr="00676813">
        <w:t xml:space="preserve"> </w:t>
      </w:r>
      <w:r w:rsidRPr="00676813">
        <w:rPr>
          <w:b/>
        </w:rPr>
        <w:t>total</w:t>
      </w:r>
      <w:r w:rsidRPr="00676813">
        <w:t xml:space="preserve"> = Sum of HDD of a given period.</w:t>
      </w:r>
    </w:p>
    <w:p w14:paraId="73E5B72B" w14:textId="77777777" w:rsidR="000A502D" w:rsidRPr="00676813" w:rsidRDefault="000A502D" w:rsidP="000A502D">
      <w:pPr>
        <w:pBdr>
          <w:top w:val="single" w:sz="6" w:space="5" w:color="auto"/>
          <w:left w:val="single" w:sz="6" w:space="0" w:color="auto"/>
          <w:bottom w:val="single" w:sz="6" w:space="5" w:color="auto"/>
          <w:right w:val="single" w:sz="6" w:space="0" w:color="auto"/>
        </w:pBdr>
        <w:shd w:val="pct10" w:color="000000" w:fill="FFFFFF"/>
        <w:spacing w:after="113" w:line="236" w:lineRule="atLeast"/>
      </w:pPr>
      <w:r w:rsidRPr="00676813">
        <w:t>This model 15/18 means that days with an average temperature (in a 24 hours period) over 15.0° C are not taken into account, but days with an average up to and including 15.0° C are included with their difference to 18.0° C.</w:t>
      </w:r>
    </w:p>
    <w:p w14:paraId="4EB0F045" w14:textId="77777777" w:rsidR="000A502D" w:rsidRPr="00676813" w:rsidRDefault="000A502D" w:rsidP="000A502D">
      <w:pPr>
        <w:pBdr>
          <w:top w:val="single" w:sz="6" w:space="5" w:color="auto"/>
          <w:left w:val="single" w:sz="6" w:space="0" w:color="auto"/>
          <w:bottom w:val="single" w:sz="6" w:space="5" w:color="auto"/>
          <w:right w:val="single" w:sz="6" w:space="0" w:color="auto"/>
        </w:pBdr>
        <w:shd w:val="pct10" w:color="000000" w:fill="FFFFFF"/>
        <w:spacing w:after="113" w:line="236" w:lineRule="atLeast"/>
        <w:ind w:firstLine="720"/>
      </w:pPr>
      <w:r w:rsidRPr="00676813">
        <w:t>In the following examples for four days are displayed:</w:t>
      </w:r>
    </w:p>
    <w:p w14:paraId="74FE6672" w14:textId="77777777" w:rsidR="000A502D" w:rsidRPr="00676813" w:rsidRDefault="000A502D" w:rsidP="000A502D">
      <w:pPr>
        <w:pBdr>
          <w:top w:val="single" w:sz="6" w:space="5" w:color="auto"/>
          <w:left w:val="single" w:sz="6" w:space="0" w:color="auto"/>
          <w:bottom w:val="single" w:sz="6" w:space="5" w:color="auto"/>
          <w:right w:val="single" w:sz="6" w:space="0" w:color="auto"/>
        </w:pBdr>
        <w:shd w:val="pct10" w:color="000000" w:fill="FFFFFF"/>
        <w:spacing w:after="113" w:line="236" w:lineRule="atLeast"/>
        <w:ind w:firstLine="720"/>
        <w:rPr>
          <w:rFonts w:cs="Arial"/>
        </w:rPr>
      </w:pPr>
      <w:r w:rsidRPr="00676813">
        <w:rPr>
          <w:rFonts w:cs="Arial"/>
        </w:rPr>
        <w:t>1</w:t>
      </w:r>
      <w:r w:rsidRPr="00676813">
        <w:rPr>
          <w:rFonts w:cs="Arial"/>
          <w:vertAlign w:val="superscript"/>
        </w:rPr>
        <w:t>st</w:t>
      </w:r>
      <w:r w:rsidRPr="00676813">
        <w:rPr>
          <w:rFonts w:cs="Arial"/>
        </w:rPr>
        <w:t xml:space="preserve"> day: </w:t>
      </w:r>
      <w:r w:rsidRPr="00676813">
        <w:rPr>
          <w:rFonts w:cs="Arial"/>
        </w:rPr>
        <w:sym w:font="Symbol" w:char="F0C6"/>
      </w:r>
      <w:r w:rsidRPr="00676813">
        <w:rPr>
          <w:rFonts w:cs="Arial"/>
        </w:rPr>
        <w:t xml:space="preserve"> temperature of – 6.0° C: 24.0 points</w:t>
      </w:r>
    </w:p>
    <w:p w14:paraId="5EAD2C62" w14:textId="77777777" w:rsidR="000A502D" w:rsidRPr="00676813" w:rsidRDefault="000A502D" w:rsidP="000A502D">
      <w:pPr>
        <w:pBdr>
          <w:top w:val="single" w:sz="6" w:space="5" w:color="auto"/>
          <w:left w:val="single" w:sz="6" w:space="0" w:color="auto"/>
          <w:bottom w:val="single" w:sz="6" w:space="5" w:color="auto"/>
          <w:right w:val="single" w:sz="6" w:space="0" w:color="auto"/>
        </w:pBdr>
        <w:shd w:val="pct10" w:color="000000" w:fill="FFFFFF"/>
        <w:spacing w:after="113" w:line="236" w:lineRule="atLeast"/>
        <w:ind w:firstLine="720"/>
        <w:rPr>
          <w:rFonts w:cs="Arial"/>
        </w:rPr>
      </w:pPr>
      <w:r w:rsidRPr="00676813">
        <w:rPr>
          <w:rFonts w:cs="Arial"/>
        </w:rPr>
        <w:t>2</w:t>
      </w:r>
      <w:r w:rsidRPr="00676813">
        <w:rPr>
          <w:rFonts w:cs="Arial"/>
          <w:vertAlign w:val="superscript"/>
        </w:rPr>
        <w:t>nd</w:t>
      </w:r>
      <w:r w:rsidRPr="00676813">
        <w:rPr>
          <w:rFonts w:cs="Arial"/>
        </w:rPr>
        <w:t xml:space="preserve"> day: </w:t>
      </w:r>
      <w:r w:rsidRPr="00676813">
        <w:rPr>
          <w:rFonts w:cs="Arial"/>
        </w:rPr>
        <w:sym w:font="Symbol" w:char="F0C6"/>
      </w:r>
      <w:r w:rsidRPr="00676813">
        <w:rPr>
          <w:rFonts w:cs="Arial"/>
        </w:rPr>
        <w:t xml:space="preserve"> temperature of + 1.5° C: 16.5 points</w:t>
      </w:r>
    </w:p>
    <w:p w14:paraId="348C86F1" w14:textId="77777777" w:rsidR="000A502D" w:rsidRPr="00676813" w:rsidRDefault="000A502D" w:rsidP="000A502D">
      <w:pPr>
        <w:pBdr>
          <w:top w:val="single" w:sz="6" w:space="5" w:color="auto"/>
          <w:left w:val="single" w:sz="6" w:space="0" w:color="auto"/>
          <w:bottom w:val="single" w:sz="6" w:space="5" w:color="auto"/>
          <w:right w:val="single" w:sz="6" w:space="0" w:color="auto"/>
        </w:pBdr>
        <w:shd w:val="pct10" w:color="000000" w:fill="FFFFFF"/>
        <w:spacing w:after="113" w:line="236" w:lineRule="atLeast"/>
        <w:ind w:firstLine="720"/>
        <w:rPr>
          <w:rFonts w:cs="Arial"/>
        </w:rPr>
      </w:pPr>
      <w:r w:rsidRPr="00676813">
        <w:rPr>
          <w:rFonts w:cs="Arial"/>
        </w:rPr>
        <w:t>3</w:t>
      </w:r>
      <w:r w:rsidRPr="00676813">
        <w:rPr>
          <w:rFonts w:cs="Arial"/>
          <w:vertAlign w:val="superscript"/>
        </w:rPr>
        <w:t>rd</w:t>
      </w:r>
      <w:r w:rsidRPr="00676813">
        <w:rPr>
          <w:rFonts w:cs="Arial"/>
        </w:rPr>
        <w:t xml:space="preserve"> day: </w:t>
      </w:r>
      <w:r w:rsidRPr="00676813">
        <w:rPr>
          <w:rFonts w:cs="Arial"/>
        </w:rPr>
        <w:sym w:font="Symbol" w:char="F0C6"/>
      </w:r>
      <w:r w:rsidRPr="00676813">
        <w:rPr>
          <w:rFonts w:cs="Arial"/>
        </w:rPr>
        <w:t xml:space="preserve"> temperature of +15.0° C: 3.0 points</w:t>
      </w:r>
    </w:p>
    <w:p w14:paraId="0E218F24" w14:textId="77777777" w:rsidR="000A502D" w:rsidRPr="00676813" w:rsidRDefault="000A502D" w:rsidP="000A502D">
      <w:pPr>
        <w:pBdr>
          <w:top w:val="single" w:sz="6" w:space="5" w:color="auto"/>
          <w:left w:val="single" w:sz="6" w:space="0" w:color="auto"/>
          <w:bottom w:val="single" w:sz="6" w:space="5" w:color="auto"/>
          <w:right w:val="single" w:sz="6" w:space="0" w:color="auto"/>
        </w:pBdr>
        <w:shd w:val="pct10" w:color="000000" w:fill="FFFFFF"/>
        <w:spacing w:after="113" w:line="236" w:lineRule="atLeast"/>
        <w:ind w:firstLine="720"/>
        <w:rPr>
          <w:rFonts w:cs="Times New Roman"/>
          <w:b/>
        </w:rPr>
      </w:pPr>
      <w:r w:rsidRPr="00676813">
        <w:rPr>
          <w:rFonts w:cs="Arial"/>
        </w:rPr>
        <w:t>4</w:t>
      </w:r>
      <w:r w:rsidRPr="00676813">
        <w:rPr>
          <w:rFonts w:cs="Arial"/>
          <w:vertAlign w:val="superscript"/>
        </w:rPr>
        <w:t>th</w:t>
      </w:r>
      <w:r w:rsidRPr="00676813">
        <w:rPr>
          <w:rFonts w:cs="Arial"/>
        </w:rPr>
        <w:t xml:space="preserve"> day: </w:t>
      </w:r>
      <w:r w:rsidRPr="00676813">
        <w:rPr>
          <w:rFonts w:cs="Arial"/>
        </w:rPr>
        <w:sym w:font="Symbol" w:char="F0C6"/>
      </w:r>
      <w:r w:rsidRPr="00676813">
        <w:rPr>
          <w:rFonts w:cs="Arial"/>
        </w:rPr>
        <w:t xml:space="preserve"> temperature of +15.1° C: 0 points</w:t>
      </w:r>
    </w:p>
    <w:p w14:paraId="387D0569" w14:textId="3D8D1E9D" w:rsidR="000A502D" w:rsidRPr="00B947FC" w:rsidRDefault="000A502D" w:rsidP="00B947FC">
      <w:pPr>
        <w:pStyle w:val="ListParagraph"/>
        <w:numPr>
          <w:ilvl w:val="0"/>
          <w:numId w:val="31"/>
        </w:numPr>
        <w:spacing w:after="113" w:line="236" w:lineRule="atLeast"/>
        <w:jc w:val="both"/>
        <w:rPr>
          <w:rFonts w:cs="Times"/>
          <w:szCs w:val="20"/>
          <w:lang w:val="en-US"/>
        </w:rPr>
      </w:pPr>
      <w:r w:rsidRPr="00B947FC">
        <w:rPr>
          <w:rFonts w:cs="Times"/>
          <w:szCs w:val="20"/>
        </w:rPr>
        <w:t xml:space="preserve">Due to </w:t>
      </w:r>
      <w:r w:rsidR="005F13C3" w:rsidRPr="00B947FC">
        <w:rPr>
          <w:rFonts w:cs="Times"/>
          <w:szCs w:val="20"/>
        </w:rPr>
        <w:t>technological</w:t>
      </w:r>
      <w:r w:rsidRPr="00B947FC">
        <w:rPr>
          <w:rFonts w:cs="Times"/>
          <w:szCs w:val="20"/>
        </w:rPr>
        <w:t xml:space="preserve"> development</w:t>
      </w:r>
      <w:r w:rsidR="005F13C3" w:rsidRPr="00B947FC">
        <w:rPr>
          <w:rFonts w:cs="Times"/>
          <w:szCs w:val="20"/>
        </w:rPr>
        <w:t>s</w:t>
      </w:r>
      <w:r w:rsidRPr="00B947FC">
        <w:rPr>
          <w:rFonts w:cs="Times"/>
          <w:szCs w:val="20"/>
        </w:rPr>
        <w:t xml:space="preserve"> and the increasing penetration of air condition</w:t>
      </w:r>
      <w:r w:rsidR="005F13C3" w:rsidRPr="00B947FC">
        <w:rPr>
          <w:rFonts w:cs="Times"/>
          <w:szCs w:val="20"/>
        </w:rPr>
        <w:t>ing,</w:t>
      </w:r>
      <w:r w:rsidRPr="00B947FC">
        <w:rPr>
          <w:rFonts w:cs="Times"/>
          <w:szCs w:val="20"/>
        </w:rPr>
        <w:t xml:space="preserve"> cooling degree days are of growing importance. For the time being, no generally agreed</w:t>
      </w:r>
      <w:r w:rsidR="005F13C3" w:rsidRPr="00B947FC">
        <w:rPr>
          <w:rFonts w:cs="Times"/>
          <w:szCs w:val="20"/>
        </w:rPr>
        <w:t>-upon</w:t>
      </w:r>
      <w:r w:rsidRPr="00B947FC">
        <w:rPr>
          <w:rFonts w:cs="Times"/>
          <w:szCs w:val="20"/>
        </w:rPr>
        <w:t xml:space="preserve"> methodology for cooling degree days is available.</w:t>
      </w:r>
    </w:p>
    <w:p w14:paraId="2F4562DD" w14:textId="420257C6" w:rsidR="000A502D" w:rsidRPr="00B947FC" w:rsidRDefault="000A502D" w:rsidP="00B947FC">
      <w:pPr>
        <w:pStyle w:val="ListParagraph"/>
        <w:numPr>
          <w:ilvl w:val="0"/>
          <w:numId w:val="31"/>
        </w:numPr>
        <w:spacing w:after="113" w:line="236" w:lineRule="atLeast"/>
        <w:jc w:val="both"/>
        <w:rPr>
          <w:rFonts w:cs="Times"/>
          <w:szCs w:val="20"/>
        </w:rPr>
      </w:pPr>
      <w:r w:rsidRPr="00B947FC">
        <w:rPr>
          <w:rFonts w:cs="Times"/>
          <w:szCs w:val="20"/>
        </w:rPr>
        <w:t>Default consumption quantities for space heating (by m² and depending on insulation measures as well as building age), water heating (by person) and cooking (</w:t>
      </w:r>
      <w:r w:rsidR="005F13C3" w:rsidRPr="00B947FC">
        <w:rPr>
          <w:rFonts w:cs="Times"/>
          <w:szCs w:val="20"/>
        </w:rPr>
        <w:t xml:space="preserve">by </w:t>
      </w:r>
      <w:r w:rsidRPr="00B947FC">
        <w:rPr>
          <w:rFonts w:cs="Times"/>
          <w:szCs w:val="20"/>
        </w:rPr>
        <w:t>family size) can be used to break down energy consumption by purposes.</w:t>
      </w:r>
    </w:p>
    <w:p w14:paraId="13EE8A56" w14:textId="6EEE106F" w:rsidR="000A502D" w:rsidRPr="00B947FC" w:rsidRDefault="000A502D" w:rsidP="00B947FC">
      <w:pPr>
        <w:pStyle w:val="ListParagraph"/>
        <w:numPr>
          <w:ilvl w:val="0"/>
          <w:numId w:val="31"/>
        </w:numPr>
        <w:spacing w:after="113" w:line="236" w:lineRule="atLeast"/>
        <w:jc w:val="both"/>
        <w:rPr>
          <w:rFonts w:cs="Times"/>
          <w:szCs w:val="20"/>
        </w:rPr>
      </w:pPr>
      <w:r w:rsidRPr="00B947FC">
        <w:rPr>
          <w:rFonts w:cs="Times"/>
          <w:szCs w:val="20"/>
        </w:rPr>
        <w:t xml:space="preserve">Assumptions on the typical (regional/national) fuel wood mixture or on its water content can be used for modelling consumption quantities and energy content of </w:t>
      </w:r>
      <w:proofErr w:type="spellStart"/>
      <w:r w:rsidRPr="00B947FC">
        <w:rPr>
          <w:rFonts w:cs="Times"/>
          <w:szCs w:val="20"/>
        </w:rPr>
        <w:t>fuelwood</w:t>
      </w:r>
      <w:proofErr w:type="spellEnd"/>
      <w:r w:rsidRPr="00B947FC">
        <w:rPr>
          <w:rFonts w:cs="Times"/>
          <w:szCs w:val="20"/>
        </w:rPr>
        <w:t>.</w:t>
      </w:r>
    </w:p>
    <w:p w14:paraId="413DB4BF" w14:textId="4A617491" w:rsidR="000A502D" w:rsidRPr="00B947FC" w:rsidRDefault="000A502D" w:rsidP="00B947FC">
      <w:pPr>
        <w:pStyle w:val="ListParagraph"/>
        <w:numPr>
          <w:ilvl w:val="0"/>
          <w:numId w:val="31"/>
        </w:numPr>
        <w:spacing w:after="113" w:line="236" w:lineRule="atLeast"/>
        <w:jc w:val="both"/>
        <w:rPr>
          <w:rFonts w:cs="Times"/>
          <w:szCs w:val="20"/>
        </w:rPr>
      </w:pPr>
      <w:r w:rsidRPr="00B947FC">
        <w:rPr>
          <w:rFonts w:cs="Times"/>
          <w:szCs w:val="20"/>
        </w:rPr>
        <w:t>Penetration of energy saving appliances, the composition of heating systems, and typical consumption behaviour (depending on socioeconomic parameters) can be used for modelling energy efficiency indicators</w:t>
      </w:r>
      <w:r w:rsidR="00FD059B" w:rsidRPr="00B947FC">
        <w:rPr>
          <w:rFonts w:cs="Times"/>
          <w:szCs w:val="20"/>
        </w:rPr>
        <w:t>.</w:t>
      </w:r>
    </w:p>
    <w:p w14:paraId="774BE35E" w14:textId="13B1FDDB" w:rsidR="00ED64D0" w:rsidRPr="00676813" w:rsidRDefault="00ED64D0" w:rsidP="00ED64D0">
      <w:pPr>
        <w:spacing w:before="120"/>
        <w:jc w:val="both"/>
        <w:rPr>
          <w:lang w:val="en-US"/>
        </w:rPr>
      </w:pPr>
      <w:r w:rsidRPr="00676813">
        <w:rPr>
          <w:lang w:val="en-US"/>
        </w:rPr>
        <w:t>All these model assumptions can be applied by their own, combined with each other</w:t>
      </w:r>
      <w:r w:rsidR="003F2870">
        <w:rPr>
          <w:lang w:val="en-US"/>
        </w:rPr>
        <w:t>,</w:t>
      </w:r>
      <w:r w:rsidRPr="00676813">
        <w:rPr>
          <w:lang w:val="en-US"/>
        </w:rPr>
        <w:t xml:space="preserve"> or with additional national or regional </w:t>
      </w:r>
      <w:r w:rsidR="003F2870">
        <w:rPr>
          <w:lang w:val="en-US"/>
        </w:rPr>
        <w:t>assumptions</w:t>
      </w:r>
      <w:r w:rsidRPr="00676813">
        <w:rPr>
          <w:lang w:val="en-US"/>
        </w:rPr>
        <w:t>. This opens a broad field for modeling and can help energy statistic compilers obtain realistic estimations whe</w:t>
      </w:r>
      <w:r w:rsidR="003F2870">
        <w:rPr>
          <w:lang w:val="en-US"/>
        </w:rPr>
        <w:t>n</w:t>
      </w:r>
      <w:r w:rsidRPr="00676813">
        <w:rPr>
          <w:lang w:val="en-US"/>
        </w:rPr>
        <w:t xml:space="preserve"> surveys </w:t>
      </w:r>
      <w:r w:rsidR="003F2870">
        <w:rPr>
          <w:lang w:val="en-US"/>
        </w:rPr>
        <w:t xml:space="preserve">reach </w:t>
      </w:r>
      <w:r w:rsidRPr="00676813">
        <w:rPr>
          <w:lang w:val="en-US"/>
        </w:rPr>
        <w:t>their limits.</w:t>
      </w:r>
    </w:p>
    <w:p w14:paraId="355E8123" w14:textId="26B3D978" w:rsidR="00966954" w:rsidRPr="00676813" w:rsidRDefault="00C83DAE" w:rsidP="00966954">
      <w:pPr>
        <w:jc w:val="both"/>
      </w:pPr>
      <w:r w:rsidRPr="00676813">
        <w:t>In the worst case</w:t>
      </w:r>
      <w:r w:rsidR="0023372E" w:rsidRPr="00676813">
        <w:t xml:space="preserve"> </w:t>
      </w:r>
      <w:r w:rsidR="004B4D42">
        <w:t>–</w:t>
      </w:r>
      <w:r w:rsidRPr="00676813">
        <w:t xml:space="preserve"> if no information can be </w:t>
      </w:r>
      <w:r w:rsidR="0023372E" w:rsidRPr="00676813">
        <w:t>obtained from</w:t>
      </w:r>
      <w:r w:rsidRPr="00676813">
        <w:t xml:space="preserve"> administrative sources and </w:t>
      </w:r>
      <w:r w:rsidR="0023372E" w:rsidRPr="00676813">
        <w:t xml:space="preserve">by conducting </w:t>
      </w:r>
      <w:r w:rsidRPr="00676813">
        <w:t>surveys</w:t>
      </w:r>
      <w:r w:rsidR="0023372E" w:rsidRPr="00676813">
        <w:t xml:space="preserve"> </w:t>
      </w:r>
      <w:r w:rsidR="004B4D42">
        <w:t>–</w:t>
      </w:r>
      <w:r w:rsidRPr="00676813">
        <w:t xml:space="preserve"> </w:t>
      </w:r>
      <w:r w:rsidR="003A3992" w:rsidRPr="00676813">
        <w:t>model</w:t>
      </w:r>
      <w:r w:rsidR="0023372E" w:rsidRPr="00676813">
        <w:t>ling</w:t>
      </w:r>
      <w:r w:rsidR="003A3992" w:rsidRPr="00676813">
        <w:t xml:space="preserve"> based on experts</w:t>
      </w:r>
      <w:r w:rsidR="0023372E" w:rsidRPr="00676813">
        <w:t>’</w:t>
      </w:r>
      <w:r w:rsidR="003A3992" w:rsidRPr="00676813">
        <w:t xml:space="preserve"> assumptions </w:t>
      </w:r>
      <w:r w:rsidR="0023372E" w:rsidRPr="00676813">
        <w:t>may be the only possibility</w:t>
      </w:r>
      <w:r w:rsidR="003A3992" w:rsidRPr="00676813">
        <w:t xml:space="preserve"> to make </w:t>
      </w:r>
      <w:r w:rsidR="0023372E" w:rsidRPr="00676813">
        <w:t xml:space="preserve">at least </w:t>
      </w:r>
      <w:r w:rsidR="003A3992" w:rsidRPr="00676813">
        <w:t>a “best estimate”.</w:t>
      </w:r>
      <w:r w:rsidR="00966954" w:rsidRPr="00676813">
        <w:t xml:space="preserve"> A typical case is the </w:t>
      </w:r>
      <w:hyperlink r:id="rId19" w:history="1">
        <w:r w:rsidR="00966954" w:rsidRPr="00676813">
          <w:rPr>
            <w:rStyle w:val="Hyperlink"/>
            <w:rFonts w:ascii="Arial" w:hAnsi="Arial" w:cstheme="minorBidi"/>
          </w:rPr>
          <w:t>IEA/ESTIF methodology</w:t>
        </w:r>
      </w:hyperlink>
      <w:r w:rsidR="00966954" w:rsidRPr="00676813">
        <w:t xml:space="preserve"> for estimating solar heat production as given in the following example. The big advantage of this estimation methodology is that both installed overall area or installed capacity can be used to calculate </w:t>
      </w:r>
      <w:r w:rsidR="00966954" w:rsidRPr="00676813">
        <w:t xml:space="preserve">heat production. Both or at least one of these figures normally is well known by the </w:t>
      </w:r>
      <w:r w:rsidR="00966954" w:rsidRPr="00676813">
        <w:t xml:space="preserve">respondents (as example how to collect the data needed see the implemented questionnaire </w:t>
      </w:r>
      <w:r w:rsidR="002139CA">
        <w:t>in the country example from Austria above</w:t>
      </w:r>
      <w:r w:rsidR="00A240B5" w:rsidRPr="00676813">
        <w:t>)</w:t>
      </w:r>
      <w:r w:rsidR="00966954" w:rsidRPr="00676813">
        <w:t>.</w:t>
      </w:r>
    </w:p>
    <w:p w14:paraId="058CFC73" w14:textId="77777777" w:rsidR="00966954" w:rsidRPr="00676813" w:rsidRDefault="00966954" w:rsidP="00966954">
      <w:pPr>
        <w:widowControl w:val="0"/>
        <w:autoSpaceDE w:val="0"/>
        <w:autoSpaceDN w:val="0"/>
        <w:adjustRightInd w:val="0"/>
        <w:spacing w:after="113" w:line="236" w:lineRule="atLeast"/>
        <w:jc w:val="both"/>
        <w:textAlignment w:val="center"/>
      </w:pPr>
      <w:r w:rsidRPr="00676813">
        <w:lastRenderedPageBreak/>
        <w:t>Figure 4.2: Solar heat and water heating system</w:t>
      </w:r>
    </w:p>
    <w:p w14:paraId="0CBD8E5D" w14:textId="77777777" w:rsidR="00966954" w:rsidRPr="00676813" w:rsidRDefault="00966954" w:rsidP="00966954">
      <w:pPr>
        <w:jc w:val="center"/>
        <w:rPr>
          <w:rFonts w:cs="Arial"/>
        </w:rPr>
      </w:pPr>
      <w:r w:rsidRPr="00676813">
        <w:rPr>
          <w:rFonts w:cs="Arial"/>
          <w:noProof/>
          <w:lang w:eastAsia="en-GB"/>
        </w:rPr>
        <w:drawing>
          <wp:inline distT="0" distB="0" distL="0" distR="0" wp14:anchorId="3AB69A98" wp14:editId="0A558067">
            <wp:extent cx="2487212" cy="2476500"/>
            <wp:effectExtent l="0" t="0" r="8890" b="0"/>
            <wp:docPr id="230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7723" cy="2477008"/>
                    </a:xfrm>
                    <a:prstGeom prst="rect">
                      <a:avLst/>
                    </a:prstGeom>
                    <a:noFill/>
                    <a:ln>
                      <a:noFill/>
                    </a:ln>
                  </pic:spPr>
                </pic:pic>
              </a:graphicData>
            </a:graphic>
          </wp:inline>
        </w:drawing>
      </w:r>
    </w:p>
    <w:p w14:paraId="5F0B3D4E" w14:textId="05DC7BA3" w:rsidR="00966954" w:rsidRPr="00676813" w:rsidRDefault="00966954" w:rsidP="00966954">
      <w:pPr>
        <w:widowControl w:val="0"/>
        <w:autoSpaceDE w:val="0"/>
        <w:autoSpaceDN w:val="0"/>
        <w:adjustRightInd w:val="0"/>
        <w:spacing w:after="113" w:line="236" w:lineRule="atLeast"/>
        <w:jc w:val="both"/>
        <w:textAlignment w:val="center"/>
      </w:pPr>
      <w:r w:rsidRPr="00676813">
        <w:t xml:space="preserve">All data needed is the installed collector area or collector thermal capacity, the type of </w:t>
      </w:r>
      <w:r w:rsidRPr="00676813">
        <w:t>system in case of glazed collector types</w:t>
      </w:r>
      <w:r w:rsidR="003C08CD">
        <w:t>,</w:t>
      </w:r>
      <w:r w:rsidRPr="00676813">
        <w:t xml:space="preserve"> and the average annual global radiation of the region.</w:t>
      </w:r>
    </w:p>
    <w:p w14:paraId="4D3BCA07" w14:textId="18176FFE" w:rsidR="00966954" w:rsidRPr="00676813" w:rsidRDefault="003C08CD" w:rsidP="00966954">
      <w:pPr>
        <w:widowControl w:val="0"/>
        <w:autoSpaceDE w:val="0"/>
        <w:autoSpaceDN w:val="0"/>
        <w:adjustRightInd w:val="0"/>
        <w:spacing w:after="113" w:line="236" w:lineRule="atLeast"/>
        <w:jc w:val="both"/>
        <w:textAlignment w:val="center"/>
      </w:pPr>
      <w:r>
        <w:t xml:space="preserve">One possible </w:t>
      </w:r>
      <w:r w:rsidR="00966954" w:rsidRPr="00676813">
        <w:t xml:space="preserve">calculation methodology </w:t>
      </w:r>
      <w:r>
        <w:t>is shown below</w:t>
      </w:r>
      <w:r w:rsidR="00966954" w:rsidRPr="00676813">
        <w:t>:</w:t>
      </w:r>
    </w:p>
    <w:p w14:paraId="09C24F94" w14:textId="77777777" w:rsidR="00966954" w:rsidRPr="00676813" w:rsidRDefault="00966954" w:rsidP="00966954">
      <w:pPr>
        <w:widowControl w:val="0"/>
        <w:autoSpaceDE w:val="0"/>
        <w:autoSpaceDN w:val="0"/>
        <w:adjustRightInd w:val="0"/>
        <w:spacing w:after="113" w:line="236" w:lineRule="atLeast"/>
        <w:jc w:val="both"/>
        <w:textAlignment w:val="center"/>
        <w:rPr>
          <w:b/>
        </w:rPr>
      </w:pPr>
      <w:r w:rsidRPr="00676813">
        <w:rPr>
          <w:b/>
        </w:rPr>
        <w:t xml:space="preserve">As a function of the installed solar collector area: </w:t>
      </w:r>
    </w:p>
    <w:tbl>
      <w:tblPr>
        <w:tblStyle w:val="TableGrid"/>
        <w:tblW w:w="0" w:type="auto"/>
        <w:tblLook w:val="04A0" w:firstRow="1" w:lastRow="0" w:firstColumn="1" w:lastColumn="0" w:noHBand="0" w:noVBand="1"/>
      </w:tblPr>
      <w:tblGrid>
        <w:gridCol w:w="4068"/>
        <w:gridCol w:w="3870"/>
      </w:tblGrid>
      <w:tr w:rsidR="002139CA" w14:paraId="51644A31" w14:textId="77777777" w:rsidTr="002139CA">
        <w:tc>
          <w:tcPr>
            <w:tcW w:w="4068" w:type="dxa"/>
          </w:tcPr>
          <w:p w14:paraId="785AFB87" w14:textId="48092561" w:rsidR="002139CA" w:rsidRDefault="002139CA" w:rsidP="00966954">
            <w:pPr>
              <w:widowControl w:val="0"/>
              <w:autoSpaceDE w:val="0"/>
              <w:autoSpaceDN w:val="0"/>
              <w:adjustRightInd w:val="0"/>
              <w:spacing w:after="113" w:line="236" w:lineRule="atLeast"/>
              <w:jc w:val="both"/>
              <w:textAlignment w:val="center"/>
            </w:pPr>
            <w:r w:rsidRPr="002139CA">
              <w:t>Un-glazed collectors:</w:t>
            </w:r>
          </w:p>
        </w:tc>
        <w:tc>
          <w:tcPr>
            <w:tcW w:w="3870" w:type="dxa"/>
          </w:tcPr>
          <w:p w14:paraId="55705471" w14:textId="55BA18EB" w:rsidR="002139CA" w:rsidRDefault="002139CA" w:rsidP="00966954">
            <w:pPr>
              <w:widowControl w:val="0"/>
              <w:autoSpaceDE w:val="0"/>
              <w:autoSpaceDN w:val="0"/>
              <w:adjustRightInd w:val="0"/>
              <w:spacing w:after="113" w:line="236" w:lineRule="atLeast"/>
              <w:jc w:val="both"/>
              <w:textAlignment w:val="center"/>
            </w:pPr>
            <w:r w:rsidRPr="002139CA">
              <w:t>0.29 * H</w:t>
            </w:r>
            <w:r w:rsidRPr="002139CA">
              <w:rPr>
                <w:vertAlign w:val="subscript"/>
              </w:rPr>
              <w:t xml:space="preserve">0 </w:t>
            </w:r>
            <w:r w:rsidRPr="002139CA">
              <w:t xml:space="preserve">* </w:t>
            </w:r>
            <w:proofErr w:type="spellStart"/>
            <w:r w:rsidRPr="002139CA">
              <w:t>A</w:t>
            </w:r>
            <w:r w:rsidRPr="002139CA">
              <w:rPr>
                <w:vertAlign w:val="subscript"/>
              </w:rPr>
              <w:t>a</w:t>
            </w:r>
            <w:proofErr w:type="spellEnd"/>
          </w:p>
        </w:tc>
      </w:tr>
      <w:tr w:rsidR="002139CA" w14:paraId="626594C0" w14:textId="77777777" w:rsidTr="002139CA">
        <w:tc>
          <w:tcPr>
            <w:tcW w:w="4068" w:type="dxa"/>
          </w:tcPr>
          <w:p w14:paraId="0F7F1D29" w14:textId="5BCB7D5C" w:rsidR="002139CA" w:rsidRDefault="002139CA" w:rsidP="00966954">
            <w:pPr>
              <w:widowControl w:val="0"/>
              <w:autoSpaceDE w:val="0"/>
              <w:autoSpaceDN w:val="0"/>
              <w:adjustRightInd w:val="0"/>
              <w:spacing w:after="113" w:line="236" w:lineRule="atLeast"/>
              <w:jc w:val="both"/>
              <w:textAlignment w:val="center"/>
            </w:pPr>
            <w:r w:rsidRPr="002139CA">
              <w:t>Glazed collectors in DHW systems:</w:t>
            </w:r>
          </w:p>
        </w:tc>
        <w:tc>
          <w:tcPr>
            <w:tcW w:w="3870" w:type="dxa"/>
          </w:tcPr>
          <w:p w14:paraId="1A8E5BD4" w14:textId="768A8256" w:rsidR="002139CA" w:rsidRDefault="002139CA" w:rsidP="00966954">
            <w:pPr>
              <w:widowControl w:val="0"/>
              <w:autoSpaceDE w:val="0"/>
              <w:autoSpaceDN w:val="0"/>
              <w:adjustRightInd w:val="0"/>
              <w:spacing w:after="113" w:line="236" w:lineRule="atLeast"/>
              <w:jc w:val="both"/>
              <w:textAlignment w:val="center"/>
            </w:pPr>
            <w:r w:rsidRPr="002139CA">
              <w:t>0.44 * H</w:t>
            </w:r>
            <w:r w:rsidRPr="002139CA">
              <w:rPr>
                <w:vertAlign w:val="subscript"/>
              </w:rPr>
              <w:t xml:space="preserve">0 </w:t>
            </w:r>
            <w:r w:rsidRPr="002139CA">
              <w:t xml:space="preserve">* </w:t>
            </w:r>
            <w:proofErr w:type="spellStart"/>
            <w:r w:rsidRPr="002139CA">
              <w:t>A</w:t>
            </w:r>
            <w:r w:rsidRPr="002139CA">
              <w:rPr>
                <w:vertAlign w:val="subscript"/>
              </w:rPr>
              <w:t>a</w:t>
            </w:r>
            <w:proofErr w:type="spellEnd"/>
          </w:p>
        </w:tc>
      </w:tr>
      <w:tr w:rsidR="002139CA" w14:paraId="70A0C4F3" w14:textId="77777777" w:rsidTr="002139CA">
        <w:tc>
          <w:tcPr>
            <w:tcW w:w="4068" w:type="dxa"/>
          </w:tcPr>
          <w:p w14:paraId="6E08878D" w14:textId="3B3E4345" w:rsidR="002139CA" w:rsidRDefault="002139CA" w:rsidP="00966954">
            <w:pPr>
              <w:widowControl w:val="0"/>
              <w:autoSpaceDE w:val="0"/>
              <w:autoSpaceDN w:val="0"/>
              <w:adjustRightInd w:val="0"/>
              <w:spacing w:after="113" w:line="236" w:lineRule="atLeast"/>
              <w:jc w:val="both"/>
              <w:textAlignment w:val="center"/>
            </w:pPr>
            <w:r w:rsidRPr="002139CA">
              <w:t xml:space="preserve">Glazed collectors in </w:t>
            </w:r>
            <w:proofErr w:type="spellStart"/>
            <w:r w:rsidRPr="002139CA">
              <w:t>combi</w:t>
            </w:r>
            <w:proofErr w:type="spellEnd"/>
            <w:r w:rsidRPr="002139CA">
              <w:t>-systems:</w:t>
            </w:r>
          </w:p>
        </w:tc>
        <w:tc>
          <w:tcPr>
            <w:tcW w:w="3870" w:type="dxa"/>
          </w:tcPr>
          <w:p w14:paraId="58452B73" w14:textId="42279CA3" w:rsidR="002139CA" w:rsidRDefault="002139CA" w:rsidP="00966954">
            <w:pPr>
              <w:widowControl w:val="0"/>
              <w:autoSpaceDE w:val="0"/>
              <w:autoSpaceDN w:val="0"/>
              <w:adjustRightInd w:val="0"/>
              <w:spacing w:after="113" w:line="236" w:lineRule="atLeast"/>
              <w:jc w:val="both"/>
              <w:textAlignment w:val="center"/>
            </w:pPr>
            <w:r w:rsidRPr="002139CA">
              <w:t>0.33 * H</w:t>
            </w:r>
            <w:r w:rsidRPr="002139CA">
              <w:rPr>
                <w:vertAlign w:val="subscript"/>
              </w:rPr>
              <w:t xml:space="preserve">0 </w:t>
            </w:r>
            <w:r w:rsidRPr="002139CA">
              <w:t xml:space="preserve">* </w:t>
            </w:r>
            <w:proofErr w:type="spellStart"/>
            <w:r w:rsidRPr="002139CA">
              <w:t>A</w:t>
            </w:r>
            <w:r w:rsidRPr="002139CA">
              <w:rPr>
                <w:vertAlign w:val="subscript"/>
              </w:rPr>
              <w:t>a</w:t>
            </w:r>
            <w:proofErr w:type="spellEnd"/>
          </w:p>
        </w:tc>
      </w:tr>
    </w:tbl>
    <w:p w14:paraId="4CE9490E" w14:textId="3276DAFA" w:rsidR="00966954" w:rsidRPr="002139CA" w:rsidRDefault="00966954" w:rsidP="00966954">
      <w:pPr>
        <w:widowControl w:val="0"/>
        <w:autoSpaceDE w:val="0"/>
        <w:autoSpaceDN w:val="0"/>
        <w:adjustRightInd w:val="0"/>
        <w:spacing w:after="113" w:line="236" w:lineRule="atLeast"/>
        <w:jc w:val="both"/>
        <w:textAlignment w:val="center"/>
      </w:pPr>
      <w:r w:rsidRPr="002139CA">
        <w:tab/>
      </w:r>
    </w:p>
    <w:p w14:paraId="2CA47800" w14:textId="77777777" w:rsidR="00966954" w:rsidRPr="00676813" w:rsidRDefault="00966954" w:rsidP="00966954">
      <w:pPr>
        <w:widowControl w:val="0"/>
        <w:autoSpaceDE w:val="0"/>
        <w:autoSpaceDN w:val="0"/>
        <w:adjustRightInd w:val="0"/>
        <w:spacing w:after="113" w:line="236" w:lineRule="atLeast"/>
        <w:jc w:val="both"/>
        <w:textAlignment w:val="center"/>
        <w:rPr>
          <w:b/>
        </w:rPr>
      </w:pPr>
      <w:r w:rsidRPr="00676813">
        <w:rPr>
          <w:b/>
        </w:rPr>
        <w:t xml:space="preserve">As a function of the installed collector nominal thermal power: </w:t>
      </w:r>
    </w:p>
    <w:tbl>
      <w:tblPr>
        <w:tblStyle w:val="TableGrid"/>
        <w:tblW w:w="0" w:type="auto"/>
        <w:tblLook w:val="04A0" w:firstRow="1" w:lastRow="0" w:firstColumn="1" w:lastColumn="0" w:noHBand="0" w:noVBand="1"/>
      </w:tblPr>
      <w:tblGrid>
        <w:gridCol w:w="4068"/>
        <w:gridCol w:w="3870"/>
      </w:tblGrid>
      <w:tr w:rsidR="002139CA" w14:paraId="784ED9AB" w14:textId="77777777" w:rsidTr="002139CA">
        <w:tc>
          <w:tcPr>
            <w:tcW w:w="4068" w:type="dxa"/>
          </w:tcPr>
          <w:p w14:paraId="77EFE637" w14:textId="0844CAD0" w:rsidR="002139CA" w:rsidRDefault="002139CA" w:rsidP="00966954">
            <w:pPr>
              <w:widowControl w:val="0"/>
              <w:autoSpaceDE w:val="0"/>
              <w:autoSpaceDN w:val="0"/>
              <w:adjustRightInd w:val="0"/>
              <w:spacing w:after="113" w:line="236" w:lineRule="atLeast"/>
              <w:jc w:val="both"/>
              <w:textAlignment w:val="center"/>
            </w:pPr>
            <w:r w:rsidRPr="002139CA">
              <w:t>Un-glazed collectors:</w:t>
            </w:r>
            <w:r w:rsidRPr="002139CA">
              <w:tab/>
            </w:r>
          </w:p>
        </w:tc>
        <w:tc>
          <w:tcPr>
            <w:tcW w:w="3870" w:type="dxa"/>
          </w:tcPr>
          <w:p w14:paraId="495FB927" w14:textId="0BD412D6" w:rsidR="002139CA" w:rsidRDefault="002139CA" w:rsidP="00966954">
            <w:pPr>
              <w:widowControl w:val="0"/>
              <w:autoSpaceDE w:val="0"/>
              <w:autoSpaceDN w:val="0"/>
              <w:adjustRightInd w:val="0"/>
              <w:spacing w:after="113" w:line="236" w:lineRule="atLeast"/>
              <w:jc w:val="both"/>
              <w:textAlignment w:val="center"/>
            </w:pPr>
            <w:r w:rsidRPr="002139CA">
              <w:t>0.42 * H</w:t>
            </w:r>
            <w:r w:rsidRPr="002139CA">
              <w:rPr>
                <w:vertAlign w:val="subscript"/>
              </w:rPr>
              <w:t xml:space="preserve">0 </w:t>
            </w:r>
            <w:r w:rsidRPr="002139CA">
              <w:t xml:space="preserve">* </w:t>
            </w:r>
            <w:proofErr w:type="spellStart"/>
            <w:r w:rsidRPr="002139CA">
              <w:t>P</w:t>
            </w:r>
            <w:r w:rsidRPr="002139CA">
              <w:rPr>
                <w:vertAlign w:val="subscript"/>
              </w:rPr>
              <w:t>nom</w:t>
            </w:r>
            <w:proofErr w:type="spellEnd"/>
          </w:p>
        </w:tc>
      </w:tr>
      <w:tr w:rsidR="002139CA" w14:paraId="07C78A8D" w14:textId="77777777" w:rsidTr="002139CA">
        <w:tc>
          <w:tcPr>
            <w:tcW w:w="4068" w:type="dxa"/>
          </w:tcPr>
          <w:p w14:paraId="0401606C" w14:textId="0295E1C6" w:rsidR="002139CA" w:rsidRDefault="002139CA" w:rsidP="00966954">
            <w:pPr>
              <w:widowControl w:val="0"/>
              <w:autoSpaceDE w:val="0"/>
              <w:autoSpaceDN w:val="0"/>
              <w:adjustRightInd w:val="0"/>
              <w:spacing w:after="113" w:line="236" w:lineRule="atLeast"/>
              <w:jc w:val="both"/>
              <w:textAlignment w:val="center"/>
            </w:pPr>
            <w:r w:rsidRPr="002139CA">
              <w:t>Glazed collectors in DHW systems:</w:t>
            </w:r>
          </w:p>
        </w:tc>
        <w:tc>
          <w:tcPr>
            <w:tcW w:w="3870" w:type="dxa"/>
          </w:tcPr>
          <w:p w14:paraId="43DCC6E8" w14:textId="69061C0F" w:rsidR="002139CA" w:rsidRDefault="002139CA" w:rsidP="00966954">
            <w:pPr>
              <w:widowControl w:val="0"/>
              <w:autoSpaceDE w:val="0"/>
              <w:autoSpaceDN w:val="0"/>
              <w:adjustRightInd w:val="0"/>
              <w:spacing w:after="113" w:line="236" w:lineRule="atLeast"/>
              <w:jc w:val="both"/>
              <w:textAlignment w:val="center"/>
            </w:pPr>
            <w:r w:rsidRPr="002139CA">
              <w:t>0.63 * H</w:t>
            </w:r>
            <w:r w:rsidRPr="002139CA">
              <w:rPr>
                <w:vertAlign w:val="subscript"/>
              </w:rPr>
              <w:t xml:space="preserve">0 </w:t>
            </w:r>
            <w:r w:rsidRPr="002139CA">
              <w:t xml:space="preserve">* </w:t>
            </w:r>
            <w:proofErr w:type="spellStart"/>
            <w:r w:rsidRPr="002139CA">
              <w:t>P</w:t>
            </w:r>
            <w:r w:rsidRPr="002139CA">
              <w:rPr>
                <w:vertAlign w:val="subscript"/>
              </w:rPr>
              <w:t>nom</w:t>
            </w:r>
            <w:proofErr w:type="spellEnd"/>
          </w:p>
        </w:tc>
      </w:tr>
      <w:tr w:rsidR="002139CA" w14:paraId="0ED59BF3" w14:textId="77777777" w:rsidTr="002139CA">
        <w:tc>
          <w:tcPr>
            <w:tcW w:w="4068" w:type="dxa"/>
          </w:tcPr>
          <w:p w14:paraId="0D1AF5A7" w14:textId="7D77436E" w:rsidR="002139CA" w:rsidRDefault="002139CA" w:rsidP="00966954">
            <w:pPr>
              <w:widowControl w:val="0"/>
              <w:autoSpaceDE w:val="0"/>
              <w:autoSpaceDN w:val="0"/>
              <w:adjustRightInd w:val="0"/>
              <w:spacing w:after="113" w:line="236" w:lineRule="atLeast"/>
              <w:jc w:val="both"/>
              <w:textAlignment w:val="center"/>
            </w:pPr>
            <w:r w:rsidRPr="002139CA">
              <w:t xml:space="preserve">Glazed collectors in </w:t>
            </w:r>
            <w:proofErr w:type="spellStart"/>
            <w:r w:rsidRPr="002139CA">
              <w:t>combi</w:t>
            </w:r>
            <w:proofErr w:type="spellEnd"/>
            <w:r w:rsidRPr="002139CA">
              <w:t>-systems:</w:t>
            </w:r>
          </w:p>
        </w:tc>
        <w:tc>
          <w:tcPr>
            <w:tcW w:w="3870" w:type="dxa"/>
          </w:tcPr>
          <w:p w14:paraId="5E4EC482" w14:textId="1F0CC4B2" w:rsidR="002139CA" w:rsidRDefault="002139CA" w:rsidP="00966954">
            <w:pPr>
              <w:widowControl w:val="0"/>
              <w:autoSpaceDE w:val="0"/>
              <w:autoSpaceDN w:val="0"/>
              <w:adjustRightInd w:val="0"/>
              <w:spacing w:after="113" w:line="236" w:lineRule="atLeast"/>
              <w:jc w:val="both"/>
              <w:textAlignment w:val="center"/>
            </w:pPr>
            <w:r w:rsidRPr="002139CA">
              <w:t>0.47 * H</w:t>
            </w:r>
            <w:r w:rsidRPr="002139CA">
              <w:rPr>
                <w:vertAlign w:val="subscript"/>
              </w:rPr>
              <w:t xml:space="preserve">0 </w:t>
            </w:r>
            <w:r w:rsidRPr="002139CA">
              <w:t xml:space="preserve">* </w:t>
            </w:r>
            <w:proofErr w:type="spellStart"/>
            <w:r w:rsidRPr="002139CA">
              <w:t>P</w:t>
            </w:r>
            <w:r w:rsidRPr="002139CA">
              <w:rPr>
                <w:vertAlign w:val="subscript"/>
              </w:rPr>
              <w:t>nom</w:t>
            </w:r>
            <w:proofErr w:type="spellEnd"/>
          </w:p>
        </w:tc>
      </w:tr>
    </w:tbl>
    <w:p w14:paraId="6B835AE0" w14:textId="1AE213D8" w:rsidR="00F332D9" w:rsidRDefault="00966954" w:rsidP="002139CA">
      <w:pPr>
        <w:widowControl w:val="0"/>
        <w:autoSpaceDE w:val="0"/>
        <w:autoSpaceDN w:val="0"/>
        <w:adjustRightInd w:val="0"/>
        <w:spacing w:after="113" w:line="236" w:lineRule="atLeast"/>
        <w:jc w:val="both"/>
        <w:textAlignment w:val="center"/>
      </w:pPr>
      <w:r w:rsidRPr="002139CA">
        <w:tab/>
      </w:r>
      <w:r w:rsidRPr="002139CA">
        <w:tab/>
      </w:r>
    </w:p>
    <w:p w14:paraId="722D4A52" w14:textId="60DFC820" w:rsidR="00966954" w:rsidRPr="00676813" w:rsidRDefault="00966954" w:rsidP="00966954">
      <w:pPr>
        <w:widowControl w:val="0"/>
        <w:autoSpaceDE w:val="0"/>
        <w:autoSpaceDN w:val="0"/>
        <w:adjustRightInd w:val="0"/>
        <w:spacing w:after="113" w:line="236" w:lineRule="atLeast"/>
        <w:jc w:val="both"/>
        <w:textAlignment w:val="center"/>
      </w:pPr>
      <w:r w:rsidRPr="00676813">
        <w:t>H</w:t>
      </w:r>
      <w:r w:rsidRPr="002139CA">
        <w:rPr>
          <w:vertAlign w:val="subscript"/>
        </w:rPr>
        <w:t>0</w:t>
      </w:r>
      <w:r w:rsidRPr="00676813">
        <w:t>: Annual global solar irradiation in kWh/m²</w:t>
      </w:r>
      <w:r w:rsidR="00F332D9">
        <w:t>.</w:t>
      </w:r>
      <w:r w:rsidRPr="00676813">
        <w:t xml:space="preserve"> </w:t>
      </w:r>
    </w:p>
    <w:p w14:paraId="4E890E9E" w14:textId="2201AD22" w:rsidR="00966954" w:rsidRPr="00676813" w:rsidRDefault="002139CA" w:rsidP="00966954">
      <w:pPr>
        <w:widowControl w:val="0"/>
        <w:autoSpaceDE w:val="0"/>
        <w:autoSpaceDN w:val="0"/>
        <w:adjustRightInd w:val="0"/>
        <w:spacing w:after="113" w:line="236" w:lineRule="atLeast"/>
        <w:jc w:val="both"/>
        <w:textAlignment w:val="center"/>
      </w:pPr>
      <w:proofErr w:type="spellStart"/>
      <w:proofErr w:type="gramStart"/>
      <w:r w:rsidRPr="002139CA">
        <w:t>A</w:t>
      </w:r>
      <w:r w:rsidRPr="002139CA">
        <w:rPr>
          <w:vertAlign w:val="subscript"/>
        </w:rPr>
        <w:t>a</w:t>
      </w:r>
      <w:proofErr w:type="spellEnd"/>
      <w:proofErr w:type="gramEnd"/>
      <w:r w:rsidR="00966954" w:rsidRPr="00676813">
        <w:t xml:space="preserve">: Collector aperture area (in m²), but used in the calculation without unit like a constant as shown in the example below. </w:t>
      </w:r>
    </w:p>
    <w:p w14:paraId="7B02B3B6" w14:textId="77777777" w:rsidR="00966954" w:rsidRPr="00676813" w:rsidRDefault="00966954" w:rsidP="00966954">
      <w:pPr>
        <w:widowControl w:val="0"/>
        <w:autoSpaceDE w:val="0"/>
        <w:autoSpaceDN w:val="0"/>
        <w:adjustRightInd w:val="0"/>
        <w:spacing w:after="113" w:line="236" w:lineRule="atLeast"/>
        <w:jc w:val="both"/>
        <w:textAlignment w:val="center"/>
      </w:pPr>
      <w:proofErr w:type="spellStart"/>
      <w:proofErr w:type="gramStart"/>
      <w:r w:rsidRPr="00676813">
        <w:t>P</w:t>
      </w:r>
      <w:r w:rsidRPr="002139CA">
        <w:rPr>
          <w:vertAlign w:val="subscript"/>
        </w:rPr>
        <w:t>nom</w:t>
      </w:r>
      <w:proofErr w:type="spellEnd"/>
      <w:r w:rsidRPr="00676813">
        <w:t xml:space="preserve"> :</w:t>
      </w:r>
      <w:proofErr w:type="gramEnd"/>
      <w:r w:rsidRPr="00676813">
        <w:t xml:space="preserve"> Nominal thermal power output of collector in (kW), but used in the calculation without unit like a constant as shown in the example below.</w:t>
      </w:r>
    </w:p>
    <w:p w14:paraId="31B55809" w14:textId="77777777" w:rsidR="00966954" w:rsidRPr="00676813" w:rsidRDefault="00966954" w:rsidP="00966954">
      <w:pPr>
        <w:widowControl w:val="0"/>
        <w:autoSpaceDE w:val="0"/>
        <w:autoSpaceDN w:val="0"/>
        <w:adjustRightInd w:val="0"/>
        <w:spacing w:after="113" w:line="236" w:lineRule="atLeast"/>
        <w:jc w:val="both"/>
        <w:textAlignment w:val="center"/>
      </w:pPr>
    </w:p>
    <w:p w14:paraId="14FF221F" w14:textId="6E1FF57F" w:rsidR="00966954" w:rsidRPr="00676813" w:rsidRDefault="00966954" w:rsidP="00966954">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676813">
        <w:rPr>
          <w:rFonts w:cs="Arial"/>
        </w:rPr>
        <w:t xml:space="preserve">The following calculation example uses the global radiation of Graz (1126 kWh/m²) and </w:t>
      </w:r>
      <w:r w:rsidRPr="00676813">
        <w:rPr>
          <w:rFonts w:cs="Arial"/>
        </w:rPr>
        <w:t>typical solar panel parameters for a single family house (glazed collector 5</w:t>
      </w:r>
      <w:r w:rsidR="009D6F6D">
        <w:rPr>
          <w:rFonts w:cs="Arial"/>
        </w:rPr>
        <w:t>.</w:t>
      </w:r>
      <w:r w:rsidRPr="00676813">
        <w:rPr>
          <w:rFonts w:cs="Arial"/>
        </w:rPr>
        <w:t>9</w:t>
      </w:r>
      <w:r w:rsidR="009D6F6D">
        <w:rPr>
          <w:rFonts w:cs="Arial"/>
        </w:rPr>
        <w:t xml:space="preserve"> </w:t>
      </w:r>
      <w:r w:rsidRPr="00676813">
        <w:rPr>
          <w:rFonts w:cs="Arial"/>
        </w:rPr>
        <w:t xml:space="preserve">m² installed </w:t>
      </w:r>
      <w:r w:rsidRPr="00676813">
        <w:rPr>
          <w:rFonts w:cs="Arial"/>
        </w:rPr>
        <w:t xml:space="preserve">panel area or 5.12 kW installed capacity) and gives the annual yield of solar heat of this installation in kWh for DHW and </w:t>
      </w:r>
      <w:proofErr w:type="spellStart"/>
      <w:r w:rsidRPr="00676813">
        <w:rPr>
          <w:rFonts w:cs="Arial"/>
        </w:rPr>
        <w:t>combi</w:t>
      </w:r>
      <w:proofErr w:type="spellEnd"/>
      <w:r w:rsidRPr="00676813">
        <w:rPr>
          <w:rFonts w:cs="Arial"/>
        </w:rPr>
        <w:t xml:space="preserve"> systems.</w:t>
      </w:r>
    </w:p>
    <w:p w14:paraId="1ACCB25E" w14:textId="77777777" w:rsidR="00966954" w:rsidRPr="00676813" w:rsidRDefault="00966954" w:rsidP="00966954">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676813">
        <w:rPr>
          <w:rFonts w:cs="Arial"/>
        </w:rPr>
        <w:t>DHW:</w:t>
      </w:r>
      <w:r w:rsidRPr="00676813">
        <w:rPr>
          <w:rFonts w:cs="Arial"/>
        </w:rPr>
        <w:tab/>
      </w:r>
      <w:r w:rsidRPr="00676813">
        <w:rPr>
          <w:rFonts w:cs="Arial"/>
        </w:rPr>
        <w:tab/>
        <w:t>0.44*1126*5.9 = 2923 (kWh/a) = 0.63*1126*4.12</w:t>
      </w:r>
    </w:p>
    <w:p w14:paraId="39E36EFB" w14:textId="5B19F389" w:rsidR="00966954" w:rsidRPr="00676813" w:rsidRDefault="00966954" w:rsidP="00966954">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676813">
        <w:rPr>
          <w:rFonts w:cs="Arial"/>
        </w:rPr>
        <w:t>COMBI:</w:t>
      </w:r>
      <w:r w:rsidRPr="00676813">
        <w:rPr>
          <w:rFonts w:cs="Arial"/>
        </w:rPr>
        <w:tab/>
        <w:t>0.33*1126*5.9 = 2192 (kWh/a) = 0.47*1126*4.12</w:t>
      </w:r>
    </w:p>
    <w:p w14:paraId="0DA0A5EA" w14:textId="77777777" w:rsidR="002139CA" w:rsidRDefault="002139CA" w:rsidP="002139CA">
      <w:pPr>
        <w:pStyle w:val="Heading1"/>
        <w:ind w:left="360"/>
      </w:pPr>
    </w:p>
    <w:p w14:paraId="65255AD0" w14:textId="77777777" w:rsidR="009C7F45" w:rsidRPr="00676813" w:rsidRDefault="009C7F45" w:rsidP="009C7F45">
      <w:pPr>
        <w:pStyle w:val="Heading1"/>
        <w:numPr>
          <w:ilvl w:val="0"/>
          <w:numId w:val="23"/>
        </w:numPr>
      </w:pPr>
      <w:r w:rsidRPr="00676813">
        <w:t>In situ measurement</w:t>
      </w:r>
    </w:p>
    <w:p w14:paraId="6519D047" w14:textId="77777777" w:rsidR="009C7F45" w:rsidRPr="00676813" w:rsidRDefault="009C7F45" w:rsidP="009C7F45">
      <w:pPr>
        <w:jc w:val="both"/>
      </w:pPr>
      <w:r w:rsidRPr="00676813">
        <w:t>This data collection methodology is expensive but in case of grid connected energy carriers like electricity, natural gas and district heating/cooling it is often the only the only possibility to collect data on consumption by purpose. Because of it high costs the sample normally is small.</w:t>
      </w:r>
    </w:p>
    <w:p w14:paraId="2A581128" w14:textId="77777777" w:rsidR="009C7F45" w:rsidRPr="00676813" w:rsidRDefault="009C7F45" w:rsidP="009C7F45">
      <w:pPr>
        <w:rPr>
          <w:b/>
        </w:rPr>
      </w:pPr>
      <w:r w:rsidRPr="00676813">
        <w:rPr>
          <w:b/>
        </w:rPr>
        <w:t>Country case Austria</w:t>
      </w:r>
    </w:p>
    <w:p w14:paraId="0F96EB73" w14:textId="43F3F795" w:rsidR="009C7F45" w:rsidRPr="00676813" w:rsidRDefault="009C7F45" w:rsidP="009C7F45">
      <w:pPr>
        <w:jc w:val="both"/>
      </w:pPr>
      <w:r w:rsidRPr="00676813">
        <w:t xml:space="preserve">In Austria the measurement action is part of the </w:t>
      </w:r>
      <w:r w:rsidR="009D6F6D" w:rsidRPr="002139CA">
        <w:rPr>
          <w:b/>
        </w:rPr>
        <w:t>“</w:t>
      </w:r>
      <w:r w:rsidRPr="00676813">
        <w:rPr>
          <w:b/>
        </w:rPr>
        <w:t>Survey on electricity natural gas consumption of households by purpose</w:t>
      </w:r>
      <w:r w:rsidR="009D6F6D">
        <w:rPr>
          <w:b/>
        </w:rPr>
        <w:t>”</w:t>
      </w:r>
      <w:r w:rsidRPr="00676813">
        <w:t>, but focus on electricity only.</w:t>
      </w:r>
      <w:r w:rsidRPr="00676813">
        <w:rPr>
          <w:b/>
        </w:rPr>
        <w:t xml:space="preserve"> </w:t>
      </w:r>
      <w:r w:rsidRPr="00676813">
        <w:t>In contrast to the other countries the measurement is done by the households themselves.</w:t>
      </w:r>
    </w:p>
    <w:p w14:paraId="2BD34BEF" w14:textId="6709BEFF" w:rsidR="009C7F45" w:rsidRPr="00676813" w:rsidRDefault="009C7F45" w:rsidP="009C7F45">
      <w:r w:rsidRPr="00676813">
        <w:t xml:space="preserve">The following </w:t>
      </w:r>
      <w:r w:rsidR="00B60999">
        <w:t>g</w:t>
      </w:r>
      <w:r w:rsidRPr="00676813">
        <w:t>eneral information was provided together with the meter to the households and was generally well accepted and clear.</w:t>
      </w:r>
    </w:p>
    <w:p w14:paraId="6414C94B" w14:textId="77777777" w:rsidR="009C7F45" w:rsidRPr="00676813" w:rsidRDefault="009C7F45" w:rsidP="009C7F45">
      <w:pPr>
        <w:keepNext/>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b/>
          <w:bCs/>
          <w:color w:val="CC0000"/>
          <w:sz w:val="36"/>
          <w:szCs w:val="36"/>
          <w:lang w:eastAsia="de-AT"/>
        </w:rPr>
      </w:pPr>
      <w:r w:rsidRPr="00676813">
        <w:rPr>
          <w:rFonts w:cs="Arial"/>
          <w:b/>
          <w:bCs/>
          <w:color w:val="CC0000"/>
          <w:sz w:val="36"/>
          <w:szCs w:val="36"/>
          <w:lang w:eastAsia="de-AT"/>
        </w:rPr>
        <w:t>General information</w:t>
      </w:r>
    </w:p>
    <w:p w14:paraId="0C7B284D"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cs="Arial"/>
          <w:b/>
          <w:bCs/>
          <w:sz w:val="20"/>
          <w:szCs w:val="20"/>
          <w:lang w:eastAsia="de-AT"/>
        </w:rPr>
      </w:pPr>
    </w:p>
    <w:p w14:paraId="6BC5D495"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b/>
          <w:bCs/>
          <w:lang w:eastAsia="de-AT"/>
        </w:rPr>
      </w:pPr>
      <w:r w:rsidRPr="00676813">
        <w:rPr>
          <w:rFonts w:cs="Arial"/>
          <w:b/>
          <w:bCs/>
          <w:lang w:eastAsia="de-AT"/>
        </w:rPr>
        <w:t xml:space="preserve">We kindly ask you to return the questionnaire until end of May! </w:t>
      </w:r>
    </w:p>
    <w:p w14:paraId="1F794454"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0" w:line="240" w:lineRule="auto"/>
        <w:rPr>
          <w:rFonts w:cs="Arial"/>
          <w:b/>
          <w:bCs/>
          <w:lang w:eastAsia="de-AT"/>
        </w:rPr>
      </w:pPr>
      <w:r w:rsidRPr="00676813">
        <w:rPr>
          <w:rFonts w:cs="Arial"/>
          <w:b/>
          <w:bCs/>
          <w:lang w:eastAsia="de-AT"/>
        </w:rPr>
        <w:t xml:space="preserve">Consumption of firmly connected devices (e.g. electric ovens) cannot be metered! </w:t>
      </w:r>
    </w:p>
    <w:p w14:paraId="0A3F0916"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0" w:line="240" w:lineRule="auto"/>
        <w:rPr>
          <w:rFonts w:cs="Arial"/>
          <w:b/>
          <w:bCs/>
          <w:lang w:eastAsia="de-AT"/>
        </w:rPr>
      </w:pPr>
      <w:r w:rsidRPr="00676813">
        <w:rPr>
          <w:rFonts w:cs="Arial"/>
          <w:b/>
          <w:bCs/>
          <w:lang w:eastAsia="de-AT"/>
        </w:rPr>
        <w:t>Built-in appliances are excluded from metering, too!</w:t>
      </w:r>
    </w:p>
    <w:p w14:paraId="2F4C37CE"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0" w:line="240" w:lineRule="auto"/>
        <w:rPr>
          <w:rFonts w:cs="Arial"/>
          <w:b/>
          <w:bCs/>
          <w:color w:val="CC0000"/>
          <w:lang w:eastAsia="de-AT"/>
        </w:rPr>
      </w:pPr>
      <w:r w:rsidRPr="00676813">
        <w:rPr>
          <w:rFonts w:cs="Arial"/>
          <w:b/>
          <w:bCs/>
          <w:color w:val="CC0000"/>
          <w:lang w:eastAsia="de-AT"/>
        </w:rPr>
        <w:t>The electricity consumption has to be metered for at least 1h (TV, computer), at least 24h (e.g. cooler, freezer) or by use (e.g. washing machine, dishwasher). For some devices it is necessary to note the power (e.g. vacuum cleaner) additionally. Please follow the requirements instanced in the questionnaire for the respective appliances.</w:t>
      </w:r>
    </w:p>
    <w:p w14:paraId="1A05B720"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b/>
          <w:bCs/>
          <w:color w:val="CC0000"/>
          <w:sz w:val="36"/>
          <w:szCs w:val="36"/>
          <w:lang w:eastAsia="de-AT"/>
        </w:rPr>
      </w:pPr>
      <w:r w:rsidRPr="00676813">
        <w:rPr>
          <w:rFonts w:cs="Arial"/>
          <w:b/>
          <w:bCs/>
          <w:color w:val="CC0000"/>
          <w:sz w:val="36"/>
          <w:szCs w:val="36"/>
          <w:lang w:eastAsia="de-AT"/>
        </w:rPr>
        <w:t>Electricity cost meter</w:t>
      </w:r>
    </w:p>
    <w:tbl>
      <w:tblPr>
        <w:tblW w:w="0" w:type="auto"/>
        <w:tblLook w:val="01E0" w:firstRow="1" w:lastRow="1" w:firstColumn="1" w:lastColumn="1" w:noHBand="0" w:noVBand="0"/>
      </w:tblPr>
      <w:tblGrid>
        <w:gridCol w:w="4060"/>
        <w:gridCol w:w="5228"/>
      </w:tblGrid>
      <w:tr w:rsidR="009C7F45" w:rsidRPr="00676813" w14:paraId="5267667B" w14:textId="77777777" w:rsidTr="005F1FE8">
        <w:tc>
          <w:tcPr>
            <w:tcW w:w="4060" w:type="dxa"/>
          </w:tcPr>
          <w:p w14:paraId="684EFF92" w14:textId="77777777" w:rsidR="009C7F45" w:rsidRPr="00676813" w:rsidRDefault="009C7F45" w:rsidP="005F1FE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60" w:after="60"/>
              <w:rPr>
                <w:rFonts w:cs="Arial"/>
                <w:sz w:val="20"/>
                <w:szCs w:val="20"/>
                <w:lang w:eastAsia="de-AT"/>
              </w:rPr>
            </w:pPr>
            <w:r w:rsidRPr="00676813">
              <w:rPr>
                <w:rFonts w:cs="Arial"/>
                <w:noProof/>
                <w:sz w:val="20"/>
                <w:szCs w:val="20"/>
                <w:lang w:eastAsia="en-GB"/>
              </w:rPr>
              <w:drawing>
                <wp:inline distT="0" distB="0" distL="0" distR="0" wp14:anchorId="0D2BB854" wp14:editId="614B17E0">
                  <wp:extent cx="2398395" cy="2268855"/>
                  <wp:effectExtent l="19050" t="0" r="1905" b="0"/>
                  <wp:docPr id="1" name="Bild 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
                          <pic:cNvPicPr>
                            <a:picLocks noChangeAspect="1" noChangeArrowheads="1"/>
                          </pic:cNvPicPr>
                        </pic:nvPicPr>
                        <pic:blipFill>
                          <a:blip r:embed="rId21" cstate="print"/>
                          <a:srcRect/>
                          <a:stretch>
                            <a:fillRect/>
                          </a:stretch>
                        </pic:blipFill>
                        <pic:spPr bwMode="auto">
                          <a:xfrm>
                            <a:off x="0" y="0"/>
                            <a:ext cx="2398395" cy="2268855"/>
                          </a:xfrm>
                          <a:prstGeom prst="rect">
                            <a:avLst/>
                          </a:prstGeom>
                          <a:noFill/>
                          <a:ln w="9525">
                            <a:noFill/>
                            <a:miter lim="800000"/>
                            <a:headEnd/>
                            <a:tailEnd/>
                          </a:ln>
                        </pic:spPr>
                      </pic:pic>
                    </a:graphicData>
                  </a:graphic>
                </wp:inline>
              </w:drawing>
            </w:r>
          </w:p>
        </w:tc>
        <w:tc>
          <w:tcPr>
            <w:tcW w:w="5228" w:type="dxa"/>
          </w:tcPr>
          <w:p w14:paraId="39AF5FAD" w14:textId="77777777" w:rsidR="009C7F45" w:rsidRPr="00676813" w:rsidRDefault="009C7F45" w:rsidP="005F1FE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
                <w:tab w:val="left" w:pos="1270"/>
                <w:tab w:val="left" w:pos="5580"/>
              </w:tabs>
              <w:autoSpaceDE w:val="0"/>
              <w:autoSpaceDN w:val="0"/>
              <w:adjustRightInd w:val="0"/>
              <w:spacing w:after="0" w:line="240" w:lineRule="auto"/>
              <w:rPr>
                <w:rFonts w:cs="Arial"/>
                <w:sz w:val="16"/>
                <w:szCs w:val="16"/>
                <w:lang w:eastAsia="de-AT"/>
              </w:rPr>
            </w:pPr>
          </w:p>
          <w:p w14:paraId="17F64F4F" w14:textId="77777777" w:rsidR="009C7F45" w:rsidRPr="00676813" w:rsidRDefault="009C7F45" w:rsidP="005F1FE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
                <w:tab w:val="left" w:pos="1270"/>
                <w:tab w:val="left" w:pos="5580"/>
              </w:tabs>
              <w:autoSpaceDE w:val="0"/>
              <w:autoSpaceDN w:val="0"/>
              <w:adjustRightInd w:val="0"/>
              <w:spacing w:after="0" w:line="240" w:lineRule="auto"/>
              <w:rPr>
                <w:rFonts w:cs="Arial"/>
                <w:sz w:val="16"/>
                <w:szCs w:val="16"/>
                <w:lang w:eastAsia="de-AT"/>
              </w:rPr>
            </w:pPr>
          </w:p>
          <w:p w14:paraId="5F4D4CE9" w14:textId="77777777" w:rsidR="009C7F45" w:rsidRPr="00676813" w:rsidRDefault="009C7F45" w:rsidP="005F1FE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
                <w:tab w:val="left" w:pos="1270"/>
                <w:tab w:val="left" w:pos="5580"/>
              </w:tabs>
              <w:autoSpaceDE w:val="0"/>
              <w:autoSpaceDN w:val="0"/>
              <w:adjustRightInd w:val="0"/>
              <w:spacing w:after="0" w:line="240" w:lineRule="auto"/>
              <w:rPr>
                <w:rFonts w:cs="Arial"/>
                <w:lang w:eastAsia="de-AT"/>
              </w:rPr>
            </w:pPr>
            <w:r w:rsidRPr="00676813">
              <w:rPr>
                <w:rFonts w:cs="Arial"/>
                <w:lang w:eastAsia="de-AT"/>
              </w:rPr>
              <w:tab/>
              <w:t xml:space="preserve">Function </w:t>
            </w:r>
            <w:r w:rsidRPr="00676813">
              <w:rPr>
                <w:rFonts w:cs="Arial"/>
                <w:lang w:eastAsia="de-AT"/>
              </w:rPr>
              <w:tab/>
              <w:t>Description</w:t>
            </w:r>
          </w:p>
          <w:p w14:paraId="338C5DDD" w14:textId="77777777" w:rsidR="009C7F45" w:rsidRPr="00676813" w:rsidRDefault="009C7F45" w:rsidP="005F1FE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
                <w:tab w:val="left" w:pos="708"/>
                <w:tab w:val="left" w:pos="1270"/>
                <w:tab w:val="left" w:pos="1416"/>
              </w:tabs>
              <w:autoSpaceDE w:val="0"/>
              <w:autoSpaceDN w:val="0"/>
              <w:adjustRightInd w:val="0"/>
              <w:spacing w:after="0" w:line="240" w:lineRule="auto"/>
              <w:rPr>
                <w:rFonts w:cs="Arial"/>
                <w:lang w:eastAsia="de-AT"/>
              </w:rPr>
            </w:pPr>
            <w:r w:rsidRPr="00676813">
              <w:rPr>
                <w:rFonts w:cs="Arial"/>
                <w:lang w:eastAsia="de-AT"/>
              </w:rPr>
              <w:tab/>
            </w:r>
            <w:r w:rsidRPr="00676813">
              <w:rPr>
                <w:rFonts w:cs="Arial"/>
                <w:lang w:eastAsia="de-AT"/>
              </w:rPr>
              <w:tab/>
            </w:r>
            <w:r w:rsidRPr="00676813">
              <w:rPr>
                <w:rFonts w:cs="Arial"/>
                <w:lang w:eastAsia="de-AT"/>
              </w:rPr>
              <w:tab/>
            </w:r>
            <w:r w:rsidRPr="00676813">
              <w:rPr>
                <w:rFonts w:cs="Arial"/>
                <w:lang w:eastAsia="de-AT"/>
              </w:rPr>
              <w:tab/>
            </w:r>
          </w:p>
          <w:p w14:paraId="2AF9AB3F" w14:textId="77777777" w:rsidR="009C7F45" w:rsidRPr="00676813" w:rsidRDefault="009C7F45" w:rsidP="005F1FE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
                <w:tab w:val="left" w:pos="1270"/>
                <w:tab w:val="left" w:pos="5580"/>
              </w:tabs>
              <w:autoSpaceDE w:val="0"/>
              <w:autoSpaceDN w:val="0"/>
              <w:adjustRightInd w:val="0"/>
              <w:spacing w:after="0" w:line="240" w:lineRule="auto"/>
              <w:rPr>
                <w:rFonts w:cs="Arial"/>
                <w:lang w:eastAsia="de-AT"/>
              </w:rPr>
            </w:pPr>
            <w:r w:rsidRPr="00676813">
              <w:rPr>
                <w:rFonts w:cs="Arial"/>
                <w:lang w:eastAsia="de-AT"/>
              </w:rPr>
              <w:tab/>
            </w:r>
            <w:r w:rsidRPr="00676813">
              <w:rPr>
                <w:rFonts w:cs="Arial"/>
                <w:b/>
                <w:lang w:eastAsia="de-AT"/>
              </w:rPr>
              <w:t>Start function</w:t>
            </w:r>
            <w:r w:rsidRPr="00676813">
              <w:rPr>
                <w:rFonts w:cs="Arial"/>
                <w:lang w:eastAsia="de-AT"/>
              </w:rPr>
              <w:t>: Time</w:t>
            </w:r>
          </w:p>
          <w:p w14:paraId="472B600F" w14:textId="77777777" w:rsidR="009C7F45" w:rsidRPr="00676813" w:rsidRDefault="009C7F45" w:rsidP="005F1FE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
                <w:tab w:val="left" w:pos="1270"/>
                <w:tab w:val="left" w:pos="5580"/>
              </w:tabs>
              <w:autoSpaceDE w:val="0"/>
              <w:autoSpaceDN w:val="0"/>
              <w:adjustRightInd w:val="0"/>
              <w:spacing w:before="40" w:after="0" w:line="240" w:lineRule="auto"/>
              <w:rPr>
                <w:rFonts w:cs="Arial"/>
                <w:lang w:eastAsia="de-AT"/>
              </w:rPr>
            </w:pPr>
            <w:r w:rsidRPr="00676813">
              <w:rPr>
                <w:rFonts w:cs="Arial"/>
                <w:lang w:eastAsia="de-AT"/>
              </w:rPr>
              <w:tab/>
              <w:t xml:space="preserve">Function 1 </w:t>
            </w:r>
            <w:r w:rsidRPr="00676813">
              <w:rPr>
                <w:rFonts w:cs="Arial"/>
                <w:lang w:eastAsia="de-AT"/>
              </w:rPr>
              <w:tab/>
              <w:t>Voltage (V) and frequency (Hz)</w:t>
            </w:r>
          </w:p>
          <w:p w14:paraId="661106EC" w14:textId="77777777" w:rsidR="009C7F45" w:rsidRPr="00676813" w:rsidRDefault="009C7F45" w:rsidP="005F1FE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
                <w:tab w:val="left" w:pos="1270"/>
                <w:tab w:val="left" w:pos="5580"/>
              </w:tabs>
              <w:autoSpaceDE w:val="0"/>
              <w:autoSpaceDN w:val="0"/>
              <w:adjustRightInd w:val="0"/>
              <w:spacing w:before="40" w:after="0" w:line="240" w:lineRule="auto"/>
              <w:rPr>
                <w:rFonts w:cs="Arial"/>
                <w:lang w:eastAsia="de-AT"/>
              </w:rPr>
            </w:pPr>
            <w:r w:rsidRPr="00676813">
              <w:rPr>
                <w:rFonts w:cs="Arial"/>
                <w:lang w:eastAsia="de-AT"/>
              </w:rPr>
              <w:tab/>
              <w:t xml:space="preserve">Function 2 </w:t>
            </w:r>
            <w:r w:rsidRPr="00676813">
              <w:rPr>
                <w:rFonts w:cs="Arial"/>
                <w:lang w:eastAsia="de-AT"/>
              </w:rPr>
              <w:tab/>
              <w:t>Current (A) and power factor (Cos Φ)</w:t>
            </w:r>
          </w:p>
          <w:p w14:paraId="36438605" w14:textId="77777777" w:rsidR="009C7F45" w:rsidRPr="00676813" w:rsidRDefault="009C7F45" w:rsidP="005F1FE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
                <w:tab w:val="left" w:pos="1270"/>
                <w:tab w:val="left" w:pos="5580"/>
              </w:tabs>
              <w:autoSpaceDE w:val="0"/>
              <w:autoSpaceDN w:val="0"/>
              <w:adjustRightInd w:val="0"/>
              <w:spacing w:before="40" w:after="0" w:line="240" w:lineRule="auto"/>
              <w:rPr>
                <w:rFonts w:cs="Arial"/>
                <w:b/>
                <w:lang w:eastAsia="de-AT"/>
              </w:rPr>
            </w:pPr>
            <w:r w:rsidRPr="00676813">
              <w:rPr>
                <w:rFonts w:cs="Arial"/>
                <w:b/>
                <w:lang w:eastAsia="de-AT"/>
              </w:rPr>
              <w:tab/>
              <w:t>Function 3</w:t>
            </w:r>
            <w:r w:rsidRPr="00676813">
              <w:rPr>
                <w:rFonts w:cs="Arial"/>
                <w:b/>
                <w:lang w:eastAsia="de-AT"/>
              </w:rPr>
              <w:tab/>
            </w:r>
            <w:r w:rsidRPr="00676813">
              <w:rPr>
                <w:rFonts w:cs="Arial"/>
                <w:b/>
                <w:u w:val="single"/>
                <w:lang w:eastAsia="de-AT"/>
              </w:rPr>
              <w:t>Power</w:t>
            </w:r>
            <w:r w:rsidRPr="00676813">
              <w:rPr>
                <w:rFonts w:cs="Arial"/>
                <w:b/>
                <w:lang w:eastAsia="de-AT"/>
              </w:rPr>
              <w:t xml:space="preserve"> </w:t>
            </w:r>
            <w:r w:rsidRPr="00676813">
              <w:rPr>
                <w:rFonts w:cs="Arial"/>
                <w:b/>
                <w:color w:val="00B050"/>
                <w:lang w:eastAsia="de-AT"/>
              </w:rPr>
              <w:t>(W)</w:t>
            </w:r>
          </w:p>
          <w:p w14:paraId="57793213" w14:textId="77777777" w:rsidR="009C7F45" w:rsidRPr="00676813" w:rsidRDefault="009C7F45" w:rsidP="005F1FE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
                <w:tab w:val="left" w:pos="1270"/>
                <w:tab w:val="left" w:pos="5580"/>
              </w:tabs>
              <w:autoSpaceDE w:val="0"/>
              <w:autoSpaceDN w:val="0"/>
              <w:adjustRightInd w:val="0"/>
              <w:spacing w:before="40" w:after="0" w:line="240" w:lineRule="auto"/>
              <w:rPr>
                <w:rFonts w:cs="Arial"/>
                <w:b/>
                <w:lang w:eastAsia="de-AT"/>
              </w:rPr>
            </w:pPr>
            <w:r w:rsidRPr="00676813">
              <w:rPr>
                <w:rFonts w:cs="Arial"/>
                <w:b/>
                <w:lang w:eastAsia="de-AT"/>
              </w:rPr>
              <w:tab/>
              <w:t xml:space="preserve">Function 4 </w:t>
            </w:r>
            <w:r w:rsidRPr="00676813">
              <w:rPr>
                <w:rFonts w:cs="Arial"/>
                <w:b/>
                <w:lang w:eastAsia="de-AT"/>
              </w:rPr>
              <w:tab/>
            </w:r>
            <w:r w:rsidRPr="00676813">
              <w:rPr>
                <w:rFonts w:cs="Arial"/>
                <w:b/>
                <w:u w:val="single"/>
                <w:lang w:eastAsia="de-AT"/>
              </w:rPr>
              <w:t>Measurement time</w:t>
            </w:r>
            <w:r w:rsidRPr="00676813">
              <w:rPr>
                <w:rFonts w:cs="Arial"/>
                <w:b/>
                <w:lang w:eastAsia="de-AT"/>
              </w:rPr>
              <w:t xml:space="preserve"> </w:t>
            </w:r>
          </w:p>
          <w:p w14:paraId="5F82EEF3" w14:textId="77777777" w:rsidR="009C7F45" w:rsidRPr="00676813" w:rsidRDefault="009C7F45" w:rsidP="005F1FE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
                <w:tab w:val="left" w:pos="1270"/>
                <w:tab w:val="left" w:pos="5580"/>
              </w:tabs>
              <w:autoSpaceDE w:val="0"/>
              <w:autoSpaceDN w:val="0"/>
              <w:adjustRightInd w:val="0"/>
              <w:spacing w:before="40" w:after="0" w:line="240" w:lineRule="auto"/>
              <w:rPr>
                <w:rFonts w:cs="Arial"/>
                <w:b/>
                <w:lang w:eastAsia="de-AT"/>
              </w:rPr>
            </w:pPr>
            <w:r w:rsidRPr="00676813">
              <w:rPr>
                <w:rFonts w:cs="Arial"/>
                <w:b/>
                <w:lang w:eastAsia="de-AT"/>
              </w:rPr>
              <w:tab/>
              <w:t>Function 5</w:t>
            </w:r>
            <w:r w:rsidRPr="00676813">
              <w:rPr>
                <w:rFonts w:cs="Arial"/>
                <w:b/>
                <w:lang w:eastAsia="de-AT"/>
              </w:rPr>
              <w:tab/>
            </w:r>
            <w:r w:rsidRPr="00676813">
              <w:rPr>
                <w:rFonts w:cs="Arial"/>
                <w:b/>
                <w:u w:val="single"/>
                <w:lang w:eastAsia="de-AT"/>
              </w:rPr>
              <w:t>Consumption</w:t>
            </w:r>
            <w:r w:rsidRPr="00676813">
              <w:rPr>
                <w:rFonts w:cs="Arial"/>
                <w:b/>
                <w:lang w:eastAsia="de-AT"/>
              </w:rPr>
              <w:t xml:space="preserve"> </w:t>
            </w:r>
            <w:r w:rsidRPr="00676813">
              <w:rPr>
                <w:rFonts w:cs="Arial"/>
                <w:b/>
                <w:color w:val="00B050"/>
                <w:lang w:eastAsia="de-AT"/>
              </w:rPr>
              <w:t>(KWh)</w:t>
            </w:r>
            <w:r w:rsidRPr="00676813">
              <w:rPr>
                <w:rFonts w:cs="Arial"/>
                <w:b/>
                <w:lang w:eastAsia="de-AT"/>
              </w:rPr>
              <w:t xml:space="preserve"> </w:t>
            </w:r>
          </w:p>
          <w:p w14:paraId="3D15B745" w14:textId="77777777" w:rsidR="009C7F45" w:rsidRPr="00676813" w:rsidRDefault="009C7F45" w:rsidP="005F1FE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
                <w:tab w:val="left" w:pos="1270"/>
                <w:tab w:val="left" w:pos="5580"/>
              </w:tabs>
              <w:autoSpaceDE w:val="0"/>
              <w:autoSpaceDN w:val="0"/>
              <w:adjustRightInd w:val="0"/>
              <w:spacing w:before="40" w:after="0" w:line="240" w:lineRule="auto"/>
              <w:rPr>
                <w:rFonts w:cs="Arial"/>
                <w:lang w:eastAsia="de-AT"/>
              </w:rPr>
            </w:pPr>
            <w:r w:rsidRPr="00676813">
              <w:rPr>
                <w:rFonts w:cs="Arial"/>
                <w:lang w:eastAsia="de-AT"/>
              </w:rPr>
              <w:tab/>
              <w:t xml:space="preserve">Function 6 </w:t>
            </w:r>
            <w:r w:rsidRPr="00676813">
              <w:rPr>
                <w:rFonts w:cs="Arial"/>
                <w:lang w:eastAsia="de-AT"/>
              </w:rPr>
              <w:tab/>
              <w:t>Costs in Euro</w:t>
            </w:r>
          </w:p>
          <w:p w14:paraId="0524A77D" w14:textId="77777777" w:rsidR="009C7F45" w:rsidRPr="00676813" w:rsidRDefault="009C7F45" w:rsidP="005F1FE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
                <w:tab w:val="left" w:pos="1270"/>
                <w:tab w:val="left" w:pos="5580"/>
              </w:tabs>
              <w:autoSpaceDE w:val="0"/>
              <w:autoSpaceDN w:val="0"/>
              <w:adjustRightInd w:val="0"/>
              <w:spacing w:before="40" w:after="0" w:line="240" w:lineRule="auto"/>
              <w:rPr>
                <w:rFonts w:cs="Arial"/>
                <w:lang w:eastAsia="de-AT"/>
              </w:rPr>
            </w:pPr>
            <w:r w:rsidRPr="00676813">
              <w:rPr>
                <w:rFonts w:cs="Arial"/>
                <w:lang w:eastAsia="de-AT"/>
              </w:rPr>
              <w:tab/>
              <w:t>Function 7</w:t>
            </w:r>
            <w:r w:rsidRPr="00676813">
              <w:rPr>
                <w:rFonts w:cs="Arial"/>
                <w:lang w:eastAsia="de-AT"/>
              </w:rPr>
              <w:tab/>
              <w:t xml:space="preserve">Price by kWh. </w:t>
            </w:r>
          </w:p>
          <w:p w14:paraId="6A3A1C95" w14:textId="77777777" w:rsidR="009C7F45" w:rsidRPr="00676813" w:rsidRDefault="009C7F45" w:rsidP="005F1FE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
              </w:tabs>
              <w:autoSpaceDE w:val="0"/>
              <w:autoSpaceDN w:val="0"/>
              <w:adjustRightInd w:val="0"/>
              <w:rPr>
                <w:rFonts w:cs="Arial"/>
                <w:sz w:val="20"/>
                <w:szCs w:val="20"/>
                <w:lang w:eastAsia="de-AT"/>
              </w:rPr>
            </w:pPr>
          </w:p>
        </w:tc>
      </w:tr>
    </w:tbl>
    <w:p w14:paraId="63D35B2B"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
          <w:tab w:val="left" w:pos="1270"/>
          <w:tab w:val="left" w:pos="5580"/>
        </w:tabs>
        <w:autoSpaceDE w:val="0"/>
        <w:autoSpaceDN w:val="0"/>
        <w:adjustRightInd w:val="0"/>
        <w:spacing w:before="40" w:after="0" w:line="240" w:lineRule="auto"/>
        <w:rPr>
          <w:rFonts w:cs="Arial"/>
          <w:lang w:eastAsia="de-AT"/>
        </w:rPr>
      </w:pPr>
      <w:r w:rsidRPr="00676813">
        <w:rPr>
          <w:rFonts w:cs="Arial"/>
          <w:lang w:eastAsia="de-AT"/>
        </w:rPr>
        <w:t xml:space="preserve">To move back to </w:t>
      </w:r>
      <w:r w:rsidRPr="00676813">
        <w:rPr>
          <w:rFonts w:cs="Arial"/>
          <w:b/>
          <w:lang w:eastAsia="de-AT"/>
        </w:rPr>
        <w:t>start function</w:t>
      </w:r>
      <w:r w:rsidRPr="00676813">
        <w:rPr>
          <w:rFonts w:cs="Arial"/>
          <w:lang w:eastAsia="de-AT"/>
        </w:rPr>
        <w:t xml:space="preserve"> press the </w:t>
      </w:r>
      <w:r w:rsidRPr="00676813">
        <w:rPr>
          <w:rFonts w:cs="Arial"/>
          <w:b/>
          <w:lang w:eastAsia="de-AT"/>
        </w:rPr>
        <w:t>CHANGE</w:t>
      </w:r>
      <w:r w:rsidRPr="00676813">
        <w:rPr>
          <w:rFonts w:cs="Arial"/>
          <w:lang w:eastAsia="de-AT"/>
        </w:rPr>
        <w:t xml:space="preserve"> button.</w:t>
      </w:r>
    </w:p>
    <w:p w14:paraId="3E5D5C55"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
          <w:tab w:val="left" w:pos="1270"/>
          <w:tab w:val="left" w:pos="5580"/>
        </w:tabs>
        <w:autoSpaceDE w:val="0"/>
        <w:autoSpaceDN w:val="0"/>
        <w:adjustRightInd w:val="0"/>
        <w:spacing w:before="40" w:after="0" w:line="240" w:lineRule="auto"/>
        <w:rPr>
          <w:rFonts w:cs="Arial"/>
          <w:lang w:eastAsia="de-AT"/>
        </w:rPr>
      </w:pPr>
      <w:r w:rsidRPr="00676813">
        <w:rPr>
          <w:rFonts w:cs="Arial"/>
          <w:lang w:eastAsia="de-AT"/>
        </w:rPr>
        <w:t xml:space="preserve">To move from the active function to the next one press the </w:t>
      </w:r>
      <w:r w:rsidRPr="00676813">
        <w:rPr>
          <w:rFonts w:cs="Arial"/>
          <w:b/>
          <w:lang w:eastAsia="de-AT"/>
        </w:rPr>
        <w:t>FUNCTION</w:t>
      </w:r>
      <w:r w:rsidRPr="00676813">
        <w:rPr>
          <w:rFonts w:cs="Arial"/>
          <w:lang w:eastAsia="de-AT"/>
        </w:rPr>
        <w:t xml:space="preserve"> button.</w:t>
      </w:r>
    </w:p>
    <w:p w14:paraId="1EAC0F4F"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40" w:after="0" w:line="240" w:lineRule="auto"/>
        <w:rPr>
          <w:rFonts w:cs="Arial"/>
          <w:lang w:eastAsia="de-AT"/>
        </w:rPr>
      </w:pPr>
      <w:r w:rsidRPr="00676813">
        <w:rPr>
          <w:rFonts w:cs="Arial"/>
          <w:lang w:eastAsia="de-AT"/>
        </w:rPr>
        <w:t xml:space="preserve">To </w:t>
      </w:r>
      <w:r w:rsidRPr="00676813">
        <w:rPr>
          <w:rFonts w:cs="Arial"/>
          <w:b/>
          <w:lang w:eastAsia="de-AT"/>
        </w:rPr>
        <w:t>reset the metered values</w:t>
      </w:r>
      <w:r w:rsidRPr="00676813">
        <w:rPr>
          <w:rFonts w:cs="Arial"/>
          <w:lang w:eastAsia="de-AT"/>
        </w:rPr>
        <w:t xml:space="preserve"> individually for the functions 4 – 6 press the </w:t>
      </w:r>
      <w:r w:rsidRPr="00676813">
        <w:rPr>
          <w:rFonts w:cs="Arial"/>
          <w:b/>
          <w:lang w:eastAsia="de-AT"/>
        </w:rPr>
        <w:t>SET</w:t>
      </w:r>
      <w:r w:rsidRPr="00676813">
        <w:rPr>
          <w:rFonts w:cs="Arial"/>
          <w:lang w:eastAsia="de-AT"/>
        </w:rPr>
        <w:t xml:space="preserve"> button for 5 seconds while the respective function is active.</w:t>
      </w:r>
    </w:p>
    <w:p w14:paraId="49D408CA"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40" w:after="0" w:line="240" w:lineRule="auto"/>
        <w:rPr>
          <w:rFonts w:cs="Arial"/>
          <w:b/>
          <w:bCs/>
          <w:color w:val="CC0000"/>
          <w:sz w:val="36"/>
          <w:szCs w:val="36"/>
          <w:lang w:eastAsia="de-AT"/>
        </w:rPr>
      </w:pPr>
      <w:r w:rsidRPr="00676813">
        <w:rPr>
          <w:rFonts w:cs="Arial"/>
          <w:b/>
          <w:bCs/>
          <w:color w:val="CC0000"/>
          <w:sz w:val="36"/>
          <w:szCs w:val="36"/>
          <w:lang w:eastAsia="de-AT"/>
        </w:rPr>
        <w:t>Before using the Electricity cost meter the first time</w:t>
      </w:r>
    </w:p>
    <w:p w14:paraId="666204F9"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240" w:after="0" w:line="240" w:lineRule="auto"/>
        <w:rPr>
          <w:rFonts w:cs="Arial"/>
          <w:b/>
          <w:bCs/>
          <w:color w:val="333399"/>
          <w:lang w:eastAsia="de-AT"/>
        </w:rPr>
      </w:pPr>
      <w:r w:rsidRPr="00676813">
        <w:rPr>
          <w:rFonts w:cs="Arial"/>
          <w:b/>
          <w:bCs/>
          <w:color w:val="333399"/>
          <w:lang w:eastAsia="de-AT"/>
        </w:rPr>
        <w:t>1. Battery charge</w:t>
      </w:r>
    </w:p>
    <w:p w14:paraId="5965AB42"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b/>
          <w:lang w:eastAsia="de-AT"/>
        </w:rPr>
      </w:pPr>
      <w:r w:rsidRPr="00676813">
        <w:rPr>
          <w:rFonts w:cs="Arial"/>
          <w:b/>
          <w:lang w:eastAsia="de-AT"/>
        </w:rPr>
        <w:t>Please plug in the electricity cost meter before the first use for 8h to charge the internal battery. This is necessary to activate the display.</w:t>
      </w:r>
    </w:p>
    <w:p w14:paraId="2C67E4E9"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240" w:after="0" w:line="240" w:lineRule="auto"/>
        <w:rPr>
          <w:rFonts w:cs="Arial"/>
          <w:b/>
          <w:bCs/>
          <w:color w:val="333399"/>
          <w:lang w:eastAsia="de-AT"/>
        </w:rPr>
      </w:pPr>
      <w:r w:rsidRPr="00676813">
        <w:rPr>
          <w:rFonts w:cs="Arial"/>
          <w:b/>
          <w:bCs/>
          <w:color w:val="333399"/>
          <w:lang w:eastAsia="de-AT"/>
        </w:rPr>
        <w:t>2. Clock time adjustment</w:t>
      </w:r>
    </w:p>
    <w:p w14:paraId="28C581A2"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lang w:eastAsia="de-AT"/>
        </w:rPr>
      </w:pPr>
      <w:r w:rsidRPr="00676813">
        <w:rPr>
          <w:rFonts w:cs="Arial"/>
          <w:lang w:eastAsia="de-AT"/>
        </w:rPr>
        <w:lastRenderedPageBreak/>
        <w:t>Time adjustment is not necessary to meter your appliances, because the measurement device records the measurement time in any case. In case of interest please follow the instruction manual.</w:t>
      </w:r>
    </w:p>
    <w:p w14:paraId="3C0AE62A"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240" w:after="0" w:line="240" w:lineRule="auto"/>
        <w:rPr>
          <w:rFonts w:cs="Arial"/>
          <w:b/>
          <w:bCs/>
          <w:color w:val="333399"/>
          <w:lang w:eastAsia="de-AT"/>
        </w:rPr>
      </w:pPr>
      <w:r w:rsidRPr="00676813">
        <w:rPr>
          <w:rFonts w:cs="Arial"/>
          <w:b/>
          <w:bCs/>
          <w:color w:val="333399"/>
          <w:lang w:eastAsia="de-AT"/>
        </w:rPr>
        <w:t>3. Electricity price adjustment</w:t>
      </w:r>
    </w:p>
    <w:p w14:paraId="092CA996"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lang w:eastAsia="de-AT"/>
        </w:rPr>
      </w:pPr>
      <w:r w:rsidRPr="00676813">
        <w:rPr>
          <w:rFonts w:cs="Arial"/>
          <w:lang w:eastAsia="de-AT"/>
        </w:rPr>
        <w:t>Electricity price adjustment to record energy costs is not necessary for that survey. In case of interest please follow the instruction manual.</w:t>
      </w:r>
    </w:p>
    <w:p w14:paraId="1172882E"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b/>
          <w:bCs/>
          <w:color w:val="CC0000"/>
          <w:sz w:val="36"/>
          <w:szCs w:val="36"/>
          <w:lang w:eastAsia="de-AT"/>
        </w:rPr>
      </w:pPr>
      <w:r w:rsidRPr="00676813">
        <w:rPr>
          <w:rFonts w:cs="Arial"/>
          <w:b/>
          <w:bCs/>
          <w:color w:val="CC0000"/>
          <w:sz w:val="36"/>
          <w:szCs w:val="36"/>
          <w:lang w:eastAsia="de-AT"/>
        </w:rPr>
        <w:t>How to meter electricity consumption of your appliances</w:t>
      </w:r>
    </w:p>
    <w:p w14:paraId="71DF1863"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240" w:after="0" w:line="240" w:lineRule="auto"/>
        <w:rPr>
          <w:rFonts w:cs="Arial"/>
          <w:b/>
          <w:bCs/>
          <w:color w:val="333399"/>
          <w:lang w:eastAsia="de-AT"/>
        </w:rPr>
      </w:pPr>
      <w:r w:rsidRPr="00676813">
        <w:rPr>
          <w:rFonts w:cs="Arial"/>
          <w:b/>
          <w:bCs/>
          <w:color w:val="333399"/>
          <w:lang w:eastAsia="de-AT"/>
        </w:rPr>
        <w:t>1. Plug the measurement device between the socket and the appliance.</w:t>
      </w:r>
    </w:p>
    <w:p w14:paraId="16B77957"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lang w:eastAsia="de-AT"/>
        </w:rPr>
      </w:pPr>
      <w:r w:rsidRPr="00676813">
        <w:rPr>
          <w:rFonts w:cs="Arial"/>
          <w:lang w:eastAsia="de-AT"/>
        </w:rPr>
        <w:t xml:space="preserve">Firmly connected appliances like electric ovens or built in devices cannot or need not be metered respectively! </w:t>
      </w:r>
    </w:p>
    <w:p w14:paraId="17B6BD53"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80" w:after="0" w:line="240" w:lineRule="auto"/>
        <w:rPr>
          <w:rFonts w:cs="Arial"/>
          <w:b/>
          <w:bCs/>
          <w:lang w:eastAsia="de-AT"/>
        </w:rPr>
      </w:pPr>
      <w:r w:rsidRPr="00676813">
        <w:rPr>
          <w:rFonts w:cs="Arial"/>
          <w:b/>
          <w:bCs/>
          <w:color w:val="333399"/>
          <w:lang w:eastAsia="de-AT"/>
        </w:rPr>
        <w:t>2. Please reset the displays of measurement time and kWh after each measurement!</w:t>
      </w:r>
    </w:p>
    <w:p w14:paraId="5889CDE7"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lang w:eastAsia="de-AT"/>
        </w:rPr>
      </w:pPr>
      <w:r w:rsidRPr="00676813">
        <w:rPr>
          <w:rFonts w:cs="Arial"/>
          <w:lang w:eastAsia="de-AT"/>
        </w:rPr>
        <w:t xml:space="preserve">To </w:t>
      </w:r>
      <w:r w:rsidRPr="00676813">
        <w:rPr>
          <w:rFonts w:cs="Arial"/>
          <w:b/>
          <w:lang w:eastAsia="de-AT"/>
        </w:rPr>
        <w:t>reset the metered values</w:t>
      </w:r>
      <w:r w:rsidRPr="00676813">
        <w:rPr>
          <w:rFonts w:cs="Arial"/>
          <w:lang w:eastAsia="de-AT"/>
        </w:rPr>
        <w:t xml:space="preserve"> individually for functions 4 – 6 press </w:t>
      </w:r>
      <w:r w:rsidRPr="00676813">
        <w:rPr>
          <w:rFonts w:cs="Arial"/>
          <w:b/>
          <w:lang w:eastAsia="de-AT"/>
        </w:rPr>
        <w:t>SET</w:t>
      </w:r>
      <w:r w:rsidRPr="00676813">
        <w:rPr>
          <w:rFonts w:cs="Arial"/>
          <w:lang w:eastAsia="de-AT"/>
        </w:rPr>
        <w:t xml:space="preserve"> for 5 seconds while the respective function is active. To reset all values press the </w:t>
      </w:r>
      <w:r w:rsidRPr="00676813">
        <w:rPr>
          <w:rFonts w:cs="Arial"/>
          <w:b/>
          <w:lang w:eastAsia="de-AT"/>
        </w:rPr>
        <w:t>R</w:t>
      </w:r>
      <w:r w:rsidRPr="00676813">
        <w:rPr>
          <w:rFonts w:cs="Arial"/>
          <w:lang w:eastAsia="de-AT"/>
        </w:rPr>
        <w:t xml:space="preserve"> button with a pointed object e.g. a ballpoint pen.</w:t>
      </w:r>
    </w:p>
    <w:p w14:paraId="39ACEBF6"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80" w:after="0" w:line="240" w:lineRule="auto"/>
        <w:rPr>
          <w:rFonts w:cs="Arial"/>
          <w:b/>
          <w:bCs/>
          <w:color w:val="333399"/>
          <w:lang w:eastAsia="de-AT"/>
        </w:rPr>
      </w:pPr>
      <w:r w:rsidRPr="00676813">
        <w:rPr>
          <w:rFonts w:cs="Arial"/>
          <w:b/>
          <w:bCs/>
          <w:color w:val="333399"/>
          <w:lang w:eastAsia="de-AT"/>
        </w:rPr>
        <w:t>3. Switch on the appliance</w:t>
      </w:r>
    </w:p>
    <w:p w14:paraId="39E51C6D"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80" w:after="0" w:line="240" w:lineRule="auto"/>
        <w:rPr>
          <w:rFonts w:cs="Arial"/>
          <w:b/>
          <w:bCs/>
          <w:color w:val="333399"/>
          <w:lang w:eastAsia="de-AT"/>
        </w:rPr>
      </w:pPr>
      <w:r w:rsidRPr="00676813">
        <w:rPr>
          <w:rFonts w:cs="Arial"/>
          <w:b/>
          <w:bCs/>
          <w:color w:val="333399"/>
          <w:lang w:eastAsia="de-AT"/>
        </w:rPr>
        <w:t>4. Read power</w:t>
      </w:r>
    </w:p>
    <w:p w14:paraId="25805632"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lang w:eastAsia="de-AT"/>
        </w:rPr>
      </w:pPr>
      <w:r w:rsidRPr="00676813">
        <w:rPr>
          <w:rFonts w:cs="Arial"/>
          <w:lang w:eastAsia="de-AT"/>
        </w:rPr>
        <w:t xml:space="preserve">Choose function 3 – power </w:t>
      </w:r>
      <w:r w:rsidRPr="00676813">
        <w:rPr>
          <w:rFonts w:cs="Arial"/>
          <w:b/>
          <w:color w:val="00B050"/>
          <w:lang w:eastAsia="de-AT"/>
        </w:rPr>
        <w:t>(W)</w:t>
      </w:r>
      <w:r w:rsidRPr="00676813">
        <w:rPr>
          <w:rFonts w:cs="Arial"/>
          <w:b/>
          <w:color w:val="00FF00"/>
          <w:lang w:eastAsia="de-AT"/>
        </w:rPr>
        <w:t xml:space="preserve"> </w:t>
      </w:r>
      <w:r w:rsidRPr="00676813">
        <w:rPr>
          <w:rFonts w:cs="Arial"/>
          <w:lang w:eastAsia="de-AT"/>
        </w:rPr>
        <w:t xml:space="preserve">- by pressing the </w:t>
      </w:r>
      <w:r w:rsidRPr="00676813">
        <w:rPr>
          <w:rFonts w:cs="Arial"/>
          <w:b/>
          <w:lang w:eastAsia="de-AT"/>
        </w:rPr>
        <w:t>FUNCTION</w:t>
      </w:r>
      <w:r w:rsidRPr="00676813">
        <w:rPr>
          <w:rFonts w:cs="Arial"/>
          <w:lang w:eastAsia="de-AT"/>
        </w:rPr>
        <w:t xml:space="preserve"> button. With this function the actual power consumption in W will be displayed. </w:t>
      </w:r>
      <w:r w:rsidRPr="00676813">
        <w:rPr>
          <w:rFonts w:cs="Arial"/>
          <w:b/>
          <w:lang w:eastAsia="de-AT"/>
        </w:rPr>
        <w:t>Caution:</w:t>
      </w:r>
      <w:r w:rsidRPr="00676813">
        <w:rPr>
          <w:rFonts w:cs="Arial"/>
          <w:lang w:eastAsia="de-AT"/>
        </w:rPr>
        <w:t xml:space="preserve"> in case of appliances with discontinuing electricity consumption </w:t>
      </w:r>
      <w:r w:rsidRPr="00676813">
        <w:rPr>
          <w:rFonts w:cs="Arial"/>
          <w:b/>
          <w:lang w:eastAsia="de-AT"/>
        </w:rPr>
        <w:t>0</w:t>
      </w:r>
      <w:r w:rsidRPr="00676813">
        <w:rPr>
          <w:rFonts w:cs="Arial"/>
          <w:lang w:eastAsia="de-AT"/>
        </w:rPr>
        <w:t xml:space="preserve"> can be displayed (e.g. Cooler, which has reached the adjusted temperature range). </w:t>
      </w:r>
      <w:r w:rsidRPr="00676813">
        <w:rPr>
          <w:rFonts w:cs="Arial"/>
          <w:bCs/>
          <w:lang w:eastAsia="de-AT"/>
        </w:rPr>
        <w:t xml:space="preserve">The measurement works from 7 Watt exactly, lower values (&lt;5 W) are possibly not displayed. </w:t>
      </w:r>
    </w:p>
    <w:p w14:paraId="47777269"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80" w:after="0" w:line="240" w:lineRule="auto"/>
        <w:rPr>
          <w:rFonts w:cs="Arial"/>
          <w:b/>
          <w:bCs/>
          <w:color w:val="333399"/>
          <w:lang w:eastAsia="de-AT"/>
        </w:rPr>
      </w:pPr>
      <w:r w:rsidRPr="00676813">
        <w:rPr>
          <w:rFonts w:cs="Arial"/>
          <w:b/>
          <w:bCs/>
          <w:color w:val="333399"/>
          <w:lang w:eastAsia="de-AT"/>
        </w:rPr>
        <w:t>5. Read measurement time</w:t>
      </w:r>
    </w:p>
    <w:p w14:paraId="4C6D1377"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lang w:eastAsia="de-AT"/>
        </w:rPr>
      </w:pPr>
      <w:r w:rsidRPr="00676813">
        <w:rPr>
          <w:rFonts w:cs="Arial"/>
          <w:lang w:eastAsia="de-AT"/>
        </w:rPr>
        <w:t xml:space="preserve">Choose function 4 – measurement time - by pressing the </w:t>
      </w:r>
      <w:r w:rsidRPr="00676813">
        <w:rPr>
          <w:rFonts w:cs="Arial"/>
          <w:b/>
          <w:lang w:eastAsia="de-AT"/>
        </w:rPr>
        <w:t>FUNCTION</w:t>
      </w:r>
      <w:r w:rsidRPr="00676813">
        <w:rPr>
          <w:rFonts w:cs="Arial"/>
          <w:lang w:eastAsia="de-AT"/>
        </w:rPr>
        <w:t xml:space="preserve"> button. With this function the activity period will be displayed in hours and minutes. If the electricity consumption is too low to be metered, no time will be displayed.</w:t>
      </w:r>
    </w:p>
    <w:p w14:paraId="0F909699"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80" w:after="0" w:line="240" w:lineRule="auto"/>
        <w:rPr>
          <w:rFonts w:cs="Arial"/>
          <w:b/>
          <w:bCs/>
          <w:color w:val="333399"/>
          <w:lang w:eastAsia="de-AT"/>
        </w:rPr>
      </w:pPr>
      <w:r w:rsidRPr="00676813">
        <w:rPr>
          <w:rFonts w:cs="Arial"/>
          <w:b/>
          <w:bCs/>
          <w:color w:val="333399"/>
          <w:lang w:eastAsia="de-AT"/>
        </w:rPr>
        <w:t>6. Read electricity consumption (Kilowatt-hours, KWh)</w:t>
      </w:r>
    </w:p>
    <w:p w14:paraId="38EE214E"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lang w:eastAsia="de-AT"/>
        </w:rPr>
      </w:pPr>
      <w:r w:rsidRPr="00676813">
        <w:rPr>
          <w:rFonts w:cs="Arial"/>
          <w:lang w:eastAsia="de-AT"/>
        </w:rPr>
        <w:t xml:space="preserve">Choose function 5 – </w:t>
      </w:r>
      <w:r w:rsidRPr="00676813">
        <w:rPr>
          <w:rFonts w:cs="Arial"/>
          <w:b/>
          <w:color w:val="00B050"/>
          <w:lang w:eastAsia="de-AT"/>
        </w:rPr>
        <w:t>KWh</w:t>
      </w:r>
      <w:r w:rsidRPr="00676813">
        <w:rPr>
          <w:rFonts w:cs="Arial"/>
          <w:lang w:eastAsia="de-AT"/>
        </w:rPr>
        <w:t xml:space="preserve"> - by pressing the </w:t>
      </w:r>
      <w:r w:rsidRPr="00676813">
        <w:rPr>
          <w:rFonts w:cs="Arial"/>
          <w:b/>
          <w:lang w:eastAsia="de-AT"/>
        </w:rPr>
        <w:t>FUNCTION</w:t>
      </w:r>
      <w:r w:rsidRPr="00676813">
        <w:rPr>
          <w:rFonts w:cs="Arial"/>
          <w:lang w:eastAsia="de-AT"/>
        </w:rPr>
        <w:t xml:space="preserve"> button, </w:t>
      </w:r>
      <w:r w:rsidRPr="00676813">
        <w:rPr>
          <w:rFonts w:cs="Arial"/>
          <w:b/>
          <w:color w:val="00B050"/>
          <w:lang w:eastAsia="de-AT"/>
        </w:rPr>
        <w:t>KWh</w:t>
      </w:r>
      <w:r w:rsidRPr="00676813">
        <w:rPr>
          <w:rFonts w:cs="Arial"/>
          <w:color w:val="00B050"/>
          <w:lang w:eastAsia="de-AT"/>
        </w:rPr>
        <w:t>.</w:t>
      </w:r>
      <w:r w:rsidRPr="00676813">
        <w:rPr>
          <w:rFonts w:cs="Arial"/>
          <w:lang w:eastAsia="de-AT"/>
        </w:rPr>
        <w:t xml:space="preserve"> With this function the electricity consumption will be displayed in </w:t>
      </w:r>
      <w:r w:rsidRPr="00676813">
        <w:rPr>
          <w:rFonts w:cs="Arial"/>
          <w:b/>
          <w:lang w:eastAsia="de-AT"/>
        </w:rPr>
        <w:t>kWh</w:t>
      </w:r>
      <w:r w:rsidRPr="00676813">
        <w:rPr>
          <w:rFonts w:cs="Arial"/>
          <w:lang w:eastAsia="de-AT"/>
        </w:rPr>
        <w:t xml:space="preserve"> continuously. The accuracy is 0.01 KWh. </w:t>
      </w:r>
    </w:p>
    <w:p w14:paraId="2280903E"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80" w:after="0" w:line="240" w:lineRule="auto"/>
        <w:rPr>
          <w:rFonts w:cs="Arial"/>
          <w:b/>
          <w:bCs/>
          <w:color w:val="333399"/>
          <w:lang w:eastAsia="de-AT"/>
        </w:rPr>
      </w:pPr>
      <w:r w:rsidRPr="00676813">
        <w:rPr>
          <w:rFonts w:cs="Arial"/>
          <w:b/>
          <w:bCs/>
          <w:color w:val="333399"/>
          <w:lang w:eastAsia="de-AT"/>
        </w:rPr>
        <w:t>7. Fill the asked values into the questionnaire</w:t>
      </w:r>
    </w:p>
    <w:p w14:paraId="392A6B5F" w14:textId="77777777" w:rsidR="009C7F45" w:rsidRPr="00676813" w:rsidRDefault="009C7F45" w:rsidP="009C7F4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lang w:eastAsia="de-AT"/>
        </w:rPr>
      </w:pPr>
      <w:r w:rsidRPr="00676813">
        <w:rPr>
          <w:rFonts w:cs="Arial"/>
          <w:lang w:eastAsia="de-AT"/>
        </w:rPr>
        <w:t xml:space="preserve">Please note – dependant on the type of the device – measurement time, power in Watt or kWh. </w:t>
      </w:r>
      <w:r w:rsidRPr="00676813">
        <w:rPr>
          <w:rFonts w:cs="Arial"/>
          <w:b/>
          <w:bCs/>
          <w:lang w:eastAsia="de-AT"/>
        </w:rPr>
        <w:t>Please note the electricity consumption (kWh) always with the 2 decimals displayed by the measurement device</w:t>
      </w:r>
      <w:r w:rsidRPr="00676813">
        <w:rPr>
          <w:rFonts w:cs="Arial"/>
          <w:lang w:eastAsia="de-AT"/>
        </w:rPr>
        <w:t>!</w:t>
      </w:r>
    </w:p>
    <w:p w14:paraId="2B65F4FA" w14:textId="77777777" w:rsidR="009C7F45" w:rsidRPr="00676813" w:rsidRDefault="009C7F45" w:rsidP="009C7F45"/>
    <w:p w14:paraId="0173F005" w14:textId="6FE31F58" w:rsidR="009C7F45" w:rsidRPr="00676813" w:rsidRDefault="009C7F45" w:rsidP="009C7F45">
      <w:r w:rsidRPr="00676813">
        <w:t>The advantage of this methodology is that it is cheap (some 10€ by meter) and although the accuracy of the meter itself is limited and most respondents were inexperienced in handling such meters</w:t>
      </w:r>
      <w:r w:rsidR="00B60999">
        <w:t>,</w:t>
      </w:r>
      <w:r w:rsidRPr="00676813">
        <w:t xml:space="preserve"> the quality of the results </w:t>
      </w:r>
      <w:r w:rsidR="00B60999">
        <w:t>was</w:t>
      </w:r>
      <w:r w:rsidR="00B60999" w:rsidRPr="00676813">
        <w:t xml:space="preserve"> </w:t>
      </w:r>
      <w:r w:rsidRPr="00676813">
        <w:t>good. In 2008</w:t>
      </w:r>
      <w:r w:rsidR="00B60999">
        <w:t xml:space="preserve"> and 2012,</w:t>
      </w:r>
      <w:r w:rsidRPr="00676813">
        <w:t xml:space="preserve"> 254 households and 264 households joint the action</w:t>
      </w:r>
      <w:r w:rsidR="00B60999">
        <w:t xml:space="preserve"> respectively</w:t>
      </w:r>
      <w:r w:rsidRPr="00676813">
        <w:t>.</w:t>
      </w:r>
    </w:p>
    <w:p w14:paraId="57CB9115" w14:textId="77777777" w:rsidR="009C7F45" w:rsidRPr="00676813" w:rsidRDefault="009C7F45" w:rsidP="009C7F45">
      <w:r w:rsidRPr="00676813">
        <w:t>Other country cases</w:t>
      </w:r>
    </w:p>
    <w:p w14:paraId="3789C559" w14:textId="77777777" w:rsidR="00ED51C3" w:rsidRPr="00676813" w:rsidRDefault="009C7F45" w:rsidP="00ED64D0">
      <w:pPr>
        <w:jc w:val="both"/>
      </w:pPr>
      <w:r w:rsidRPr="00584BEE">
        <w:rPr>
          <w:b/>
          <w:highlight w:val="yellow"/>
          <w:lang w:val="lv-LV"/>
        </w:rPr>
        <w:t>UK?</w:t>
      </w:r>
      <w:r w:rsidR="00846560">
        <w:rPr>
          <w:b/>
          <w:highlight w:val="yellow"/>
          <w:lang w:val="lv-LV"/>
        </w:rPr>
        <w:t xml:space="preserve">, </w:t>
      </w:r>
      <w:r w:rsidRPr="00584BEE">
        <w:rPr>
          <w:b/>
          <w:highlight w:val="yellow"/>
          <w:lang w:val="lv-LV"/>
        </w:rPr>
        <w:t>Canada?</w:t>
      </w:r>
      <w:r w:rsidR="00846560">
        <w:rPr>
          <w:b/>
          <w:highlight w:val="yellow"/>
          <w:lang w:val="lv-LV"/>
        </w:rPr>
        <w:t xml:space="preserve">, </w:t>
      </w:r>
      <w:r w:rsidRPr="00584BEE">
        <w:rPr>
          <w:b/>
          <w:highlight w:val="yellow"/>
          <w:lang w:val="lv-LV"/>
        </w:rPr>
        <w:t>Australia?</w:t>
      </w:r>
      <w:r w:rsidR="00846560">
        <w:rPr>
          <w:b/>
          <w:highlight w:val="yellow"/>
          <w:lang w:val="lv-LV"/>
        </w:rPr>
        <w:t xml:space="preserve">, </w:t>
      </w:r>
      <w:r w:rsidRPr="00584BEE">
        <w:rPr>
          <w:b/>
          <w:highlight w:val="yellow"/>
          <w:lang w:val="lv-LV"/>
        </w:rPr>
        <w:t>Ghana?</w:t>
      </w:r>
      <w:r w:rsidR="00846560">
        <w:rPr>
          <w:b/>
          <w:highlight w:val="yellow"/>
          <w:lang w:val="lv-LV"/>
        </w:rPr>
        <w:t xml:space="preserve">, </w:t>
      </w:r>
      <w:r w:rsidRPr="00584BEE">
        <w:rPr>
          <w:b/>
          <w:highlight w:val="yellow"/>
          <w:lang w:val="lv-LV"/>
        </w:rPr>
        <w:t>Azerbaijan?</w:t>
      </w:r>
      <w:r w:rsidR="00846560">
        <w:rPr>
          <w:b/>
          <w:highlight w:val="yellow"/>
          <w:lang w:val="lv-LV"/>
        </w:rPr>
        <w:t xml:space="preserve">, </w:t>
      </w:r>
      <w:r w:rsidRPr="00584BEE">
        <w:rPr>
          <w:b/>
          <w:highlight w:val="yellow"/>
          <w:lang w:val="lv-LV"/>
        </w:rPr>
        <w:t>Sweden?</w:t>
      </w:r>
      <w:r w:rsidR="00846560">
        <w:rPr>
          <w:b/>
          <w:highlight w:val="yellow"/>
          <w:lang w:val="lv-LV"/>
        </w:rPr>
        <w:t xml:space="preserve">, </w:t>
      </w:r>
      <w:r w:rsidRPr="00584BEE">
        <w:rPr>
          <w:b/>
          <w:highlight w:val="yellow"/>
          <w:lang w:val="lv-LV"/>
        </w:rPr>
        <w:t>Denmark?</w:t>
      </w:r>
      <w:r w:rsidR="00846560">
        <w:rPr>
          <w:b/>
          <w:highlight w:val="yellow"/>
          <w:lang w:val="lv-LV"/>
        </w:rPr>
        <w:t xml:space="preserve">, </w:t>
      </w:r>
      <w:r w:rsidRPr="00584BEE">
        <w:rPr>
          <w:b/>
          <w:highlight w:val="yellow"/>
          <w:lang w:val="lv-LV"/>
        </w:rPr>
        <w:t>Finnland?</w:t>
      </w:r>
      <w:r w:rsidR="00846560">
        <w:rPr>
          <w:b/>
          <w:highlight w:val="yellow"/>
          <w:lang w:val="lv-LV"/>
        </w:rPr>
        <w:t xml:space="preserve">, </w:t>
      </w:r>
      <w:r w:rsidRPr="00584BEE">
        <w:rPr>
          <w:b/>
          <w:highlight w:val="yellow"/>
          <w:lang w:val="lv-LV"/>
        </w:rPr>
        <w:t>South Africa?</w:t>
      </w:r>
      <w:r w:rsidR="00846560">
        <w:rPr>
          <w:b/>
          <w:highlight w:val="yellow"/>
          <w:lang w:val="lv-LV"/>
        </w:rPr>
        <w:t xml:space="preserve">, </w:t>
      </w:r>
      <w:r w:rsidRPr="00584BEE">
        <w:rPr>
          <w:b/>
          <w:highlight w:val="yellow"/>
          <w:lang w:val="lv-LV"/>
        </w:rPr>
        <w:t>Russia?</w:t>
      </w:r>
      <w:r w:rsidR="00846560">
        <w:rPr>
          <w:b/>
          <w:highlight w:val="yellow"/>
          <w:lang w:val="lv-LV"/>
        </w:rPr>
        <w:t xml:space="preserve">, </w:t>
      </w:r>
      <w:r w:rsidRPr="00584BEE">
        <w:rPr>
          <w:b/>
          <w:highlight w:val="yellow"/>
          <w:lang w:val="lv-LV"/>
        </w:rPr>
        <w:t>India?</w:t>
      </w:r>
      <w:r w:rsidR="00846560">
        <w:rPr>
          <w:b/>
          <w:highlight w:val="yellow"/>
          <w:lang w:val="lv-LV"/>
        </w:rPr>
        <w:t xml:space="preserve">, </w:t>
      </w:r>
      <w:r w:rsidRPr="00584BEE">
        <w:rPr>
          <w:b/>
          <w:highlight w:val="yellow"/>
          <w:lang w:val="lv-LV"/>
        </w:rPr>
        <w:t>Norway?</w:t>
      </w:r>
      <w:r w:rsidR="00846560">
        <w:rPr>
          <w:b/>
          <w:highlight w:val="yellow"/>
          <w:lang w:val="lv-LV"/>
        </w:rPr>
        <w:t xml:space="preserve">, </w:t>
      </w:r>
      <w:r w:rsidRPr="00584BEE">
        <w:rPr>
          <w:b/>
          <w:highlight w:val="yellow"/>
          <w:lang w:val="lv-LV"/>
        </w:rPr>
        <w:t>Malaysia?</w:t>
      </w:r>
      <w:r w:rsidR="00846560">
        <w:rPr>
          <w:b/>
          <w:highlight w:val="yellow"/>
          <w:lang w:val="lv-LV"/>
        </w:rPr>
        <w:t xml:space="preserve">, </w:t>
      </w:r>
      <w:r w:rsidRPr="00584BEE">
        <w:rPr>
          <w:b/>
          <w:highlight w:val="yellow"/>
          <w:lang w:val="lv-LV"/>
        </w:rPr>
        <w:t>Ireland?</w:t>
      </w:r>
      <w:r w:rsidR="00846560">
        <w:rPr>
          <w:b/>
          <w:highlight w:val="yellow"/>
          <w:lang w:val="lv-LV"/>
        </w:rPr>
        <w:t xml:space="preserve">, </w:t>
      </w:r>
      <w:r w:rsidRPr="00584BEE">
        <w:rPr>
          <w:b/>
          <w:highlight w:val="yellow"/>
          <w:lang w:val="lv-LV"/>
        </w:rPr>
        <w:t>Netherlands?</w:t>
      </w:r>
      <w:r w:rsidR="00846560">
        <w:rPr>
          <w:b/>
          <w:lang w:val="lv-LV"/>
        </w:rPr>
        <w:t xml:space="preserve">, </w:t>
      </w:r>
    </w:p>
    <w:p w14:paraId="634F6D14" w14:textId="77777777" w:rsidR="002139CA" w:rsidRDefault="002139CA" w:rsidP="002139CA">
      <w:pPr>
        <w:pStyle w:val="Heading1"/>
        <w:ind w:left="360"/>
      </w:pPr>
    </w:p>
    <w:p w14:paraId="3B64A9CB" w14:textId="2F908335" w:rsidR="00E6710F" w:rsidRPr="005C5711" w:rsidRDefault="00E6710F" w:rsidP="002139CA">
      <w:pPr>
        <w:pStyle w:val="Heading1"/>
        <w:numPr>
          <w:ilvl w:val="0"/>
          <w:numId w:val="23"/>
        </w:numPr>
      </w:pPr>
      <w:r w:rsidRPr="005C5711">
        <w:t xml:space="preserve">Country cases - </w:t>
      </w:r>
      <w:proofErr w:type="spellStart"/>
      <w:r w:rsidRPr="005C5711">
        <w:t>multi purpose</w:t>
      </w:r>
      <w:proofErr w:type="spellEnd"/>
      <w:r w:rsidRPr="005C5711">
        <w:t xml:space="preserve"> approaches </w:t>
      </w:r>
    </w:p>
    <w:p w14:paraId="1FD2AF02" w14:textId="363B1ECF" w:rsidR="0036547E" w:rsidRPr="00676813" w:rsidRDefault="0036547E" w:rsidP="0036547E">
      <w:pPr>
        <w:rPr>
          <w:lang w:val="lv-LV"/>
        </w:rPr>
      </w:pPr>
      <w:r w:rsidRPr="00676813">
        <w:rPr>
          <w:lang w:val="lv-LV"/>
        </w:rPr>
        <w:t>This chapter</w:t>
      </w:r>
      <w:r w:rsidR="00485C38">
        <w:rPr>
          <w:lang w:val="lv-LV"/>
        </w:rPr>
        <w:t xml:space="preserve"> also</w:t>
      </w:r>
      <w:r w:rsidRPr="00676813">
        <w:rPr>
          <w:lang w:val="lv-LV"/>
        </w:rPr>
        <w:t xml:space="preserve"> list</w:t>
      </w:r>
      <w:r w:rsidR="00485C38">
        <w:rPr>
          <w:lang w:val="lv-LV"/>
        </w:rPr>
        <w:t>s</w:t>
      </w:r>
      <w:r w:rsidRPr="00676813">
        <w:rPr>
          <w:lang w:val="lv-LV"/>
        </w:rPr>
        <w:t xml:space="preserve"> some country </w:t>
      </w:r>
      <w:r w:rsidR="007E3A65">
        <w:rPr>
          <w:lang w:val="lv-LV"/>
        </w:rPr>
        <w:t>examples</w:t>
      </w:r>
      <w:r w:rsidR="007E3A65" w:rsidRPr="00676813">
        <w:rPr>
          <w:lang w:val="lv-LV"/>
        </w:rPr>
        <w:t xml:space="preserve"> </w:t>
      </w:r>
      <w:r w:rsidRPr="00676813">
        <w:rPr>
          <w:lang w:val="lv-LV"/>
        </w:rPr>
        <w:t xml:space="preserve">to show </w:t>
      </w:r>
      <w:r w:rsidR="002D2ED5" w:rsidRPr="00676813">
        <w:rPr>
          <w:lang w:val="lv-LV"/>
        </w:rPr>
        <w:t xml:space="preserve">how </w:t>
      </w:r>
      <w:r w:rsidRPr="00676813">
        <w:rPr>
          <w:lang w:val="lv-LV"/>
        </w:rPr>
        <w:t>differen</w:t>
      </w:r>
      <w:r w:rsidR="002D2ED5" w:rsidRPr="00676813">
        <w:rPr>
          <w:lang w:val="lv-LV"/>
        </w:rPr>
        <w:t>t</w:t>
      </w:r>
      <w:r w:rsidRPr="00676813">
        <w:rPr>
          <w:lang w:val="lv-LV"/>
        </w:rPr>
        <w:t xml:space="preserve"> approaches can be combined to obtain all information needed with minimum resources.</w:t>
      </w:r>
    </w:p>
    <w:p w14:paraId="7090A688" w14:textId="77777777" w:rsidR="00E6710F" w:rsidRPr="00676813" w:rsidRDefault="00E6710F" w:rsidP="00557E06">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676813">
        <w:rPr>
          <w:b/>
        </w:rPr>
        <w:lastRenderedPageBreak/>
        <w:t>Austria</w:t>
      </w:r>
      <w:r w:rsidR="00816B78" w:rsidRPr="00676813">
        <w:rPr>
          <w:b/>
        </w:rPr>
        <w:t>:</w:t>
      </w:r>
      <w:r w:rsidR="00041A29" w:rsidRPr="00676813">
        <w:rPr>
          <w:b/>
        </w:rPr>
        <w:t xml:space="preserve"> </w:t>
      </w:r>
      <w:r w:rsidR="002D2ED5" w:rsidRPr="00676813">
        <w:rPr>
          <w:b/>
        </w:rPr>
        <w:t>Modelling</w:t>
      </w:r>
      <w:r w:rsidR="00041A29" w:rsidRPr="00676813">
        <w:rPr>
          <w:b/>
        </w:rPr>
        <w:t xml:space="preserve"> of electricity consumption in private households in Austria according to type of usage</w:t>
      </w:r>
    </w:p>
    <w:p w14:paraId="7851A231" w14:textId="77777777" w:rsidR="00041A29" w:rsidRPr="00676813" w:rsidRDefault="00041A29" w:rsidP="00557E06">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676813">
        <w:t xml:space="preserve">Within this project a method for linking data records relating to electricity consumption in private households from different surveys (Household Energy Consumption 2004, 2006, 2008 and 2010 surveys with the Electricity and Gas Journal 2008) by means of statistical matching was developed. </w:t>
      </w:r>
    </w:p>
    <w:p w14:paraId="6EC83C7E" w14:textId="77777777" w:rsidR="00041A29" w:rsidRPr="00676813" w:rsidRDefault="00041A29" w:rsidP="00557E06">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676813">
        <w:t xml:space="preserve">In addition to information about the heating system, overall electricity consumption, electricity consumption for space heating, water heating and cooking, the model also included socio-economic criteria (number of individuals in the household and legal relationship to the dwelling), property-related criteria (age of property, living area, number of dwellings in the property) and regional criteria (urban versus rural regions). </w:t>
      </w:r>
    </w:p>
    <w:p w14:paraId="12C59002" w14:textId="77777777" w:rsidR="00041A29" w:rsidRPr="00676813" w:rsidRDefault="00041A29" w:rsidP="00557E06">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676813">
        <w:t xml:space="preserve">The data records were linked for the period 2003 to 2010 and a forecast was made for 2011. Time series were generated from this data for the specific uses of power in private households. </w:t>
      </w:r>
    </w:p>
    <w:p w14:paraId="4032554C" w14:textId="77777777" w:rsidR="00041A29" w:rsidRPr="00676813" w:rsidRDefault="00041A29" w:rsidP="00557E06">
      <w:pPr>
        <w:pBdr>
          <w:top w:val="single" w:sz="4" w:space="1" w:color="auto"/>
          <w:left w:val="single" w:sz="4" w:space="4" w:color="auto"/>
          <w:bottom w:val="single" w:sz="4" w:space="1" w:color="auto"/>
          <w:right w:val="single" w:sz="4" w:space="4" w:color="auto"/>
        </w:pBdr>
        <w:shd w:val="clear" w:color="auto" w:fill="F2F2F2" w:themeFill="background1" w:themeFillShade="F2"/>
        <w:rPr>
          <w:b/>
          <w:lang w:val="en-US"/>
        </w:rPr>
      </w:pPr>
      <w:r w:rsidRPr="00676813">
        <w:rPr>
          <w:b/>
          <w:lang w:val="en-US"/>
        </w:rPr>
        <w:t>Methodology</w:t>
      </w:r>
    </w:p>
    <w:p w14:paraId="65FF23C4" w14:textId="77777777" w:rsidR="00041A29" w:rsidRPr="00676813" w:rsidRDefault="00041A29" w:rsidP="00557E06">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676813">
        <w:t xml:space="preserve">The </w:t>
      </w:r>
      <w:r w:rsidR="009D6201" w:rsidRPr="00676813">
        <w:t>bases for development of a method for linking data records for household power consumption are</w:t>
      </w:r>
      <w:r w:rsidRPr="00676813">
        <w:t xml:space="preserve"> the following two surveys: </w:t>
      </w:r>
    </w:p>
    <w:p w14:paraId="080C0A45" w14:textId="77777777" w:rsidR="00041A29" w:rsidRPr="00676813" w:rsidRDefault="00041A29" w:rsidP="001A22EF">
      <w:pPr>
        <w:pStyle w:val="Listenabsatz1"/>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709" w:hanging="709"/>
        <w:rPr>
          <w:rFonts w:ascii="Times New Roman" w:hAnsi="Times New Roman" w:cs="Times New Roman"/>
          <w:lang w:val="en-GB"/>
        </w:rPr>
      </w:pPr>
      <w:r w:rsidRPr="00676813">
        <w:rPr>
          <w:lang w:val="en-GB"/>
        </w:rPr>
        <w:t>Household Energy Consumption: a voluntary survey with a gross sample size of approximately 19 000 households per survey and a response rate of over 60% that was conducted at two-year intervals for the reporting years 2004, 2006, 2008 and 2010</w:t>
      </w:r>
      <w:r w:rsidRPr="00676813">
        <w:rPr>
          <w:rFonts w:ascii="Times New Roman" w:hAnsi="Times New Roman" w:cs="Times New Roman"/>
          <w:lang w:val="en-GB"/>
        </w:rPr>
        <w:t>.</w:t>
      </w:r>
      <w:r w:rsidRPr="00676813">
        <w:rPr>
          <w:lang w:val="en-GB"/>
        </w:rPr>
        <w:t xml:space="preserve"> </w:t>
      </w:r>
    </w:p>
    <w:p w14:paraId="50F2BA67" w14:textId="77777777" w:rsidR="00041A29" w:rsidRPr="00676813" w:rsidRDefault="00041A29" w:rsidP="001A22EF">
      <w:pPr>
        <w:pStyle w:val="Listenabsatz1"/>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709" w:hanging="709"/>
        <w:rPr>
          <w:rFonts w:ascii="Times New Roman" w:hAnsi="Times New Roman" w:cs="Times New Roman"/>
          <w:lang w:val="en-GB"/>
        </w:rPr>
      </w:pPr>
      <w:r w:rsidRPr="00676813">
        <w:rPr>
          <w:lang w:val="en-GB"/>
        </w:rPr>
        <w:t xml:space="preserve">Electricity and Gas Journal: a voluntary survey with a gross sample size of approximately 500 households and a response rate of almost 51% that was first conducted for the reporting year 2008 and is to be repeated in future at intervals of several years (next survey due to be conducted in 2012). </w:t>
      </w:r>
    </w:p>
    <w:p w14:paraId="0AE5EA3F" w14:textId="77777777" w:rsidR="00041A29" w:rsidRPr="00676813" w:rsidRDefault="00041A29" w:rsidP="00557E06">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676813">
        <w:t>Detailed information on the two surveys is available on the Statistics Austria website (</w:t>
      </w:r>
      <w:hyperlink r:id="rId22" w:history="1">
        <w:r w:rsidRPr="00676813">
          <w:t>www.statistik.at</w:t>
        </w:r>
      </w:hyperlink>
      <w:r w:rsidRPr="00676813">
        <w:t xml:space="preserve">) in the form of standard documentation for each survey (Household Energy Consumption for the years 2004, 2006, 2008 and 2010; Electricity and Gas Journal for 2008) and as a project report for the Electricity and Gas Journal 2008. </w:t>
      </w:r>
    </w:p>
    <w:p w14:paraId="31582AC9" w14:textId="77777777" w:rsidR="00041A29" w:rsidRPr="00676813" w:rsidRDefault="00041A29" w:rsidP="00557E06">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676813">
        <w:t xml:space="preserve">Despite the relatively small sample size (254 responding households) the data quality of the Electricity and Gas Journal is good. The average annual power consumption of 4 417°kWh per household shows a good correspondence with the figure of 4 533 kWh for annual power consumption from the Household Energy Use survey for 2008 (12 399 responding households). </w:t>
      </w:r>
    </w:p>
    <w:p w14:paraId="1E6E27D4" w14:textId="77777777" w:rsidR="00041A29" w:rsidRPr="00676813" w:rsidRDefault="00041A29" w:rsidP="00557E06">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676813">
        <w:t xml:space="preserve">In a first step the information from the Electricity and Gas Journal was linked at individual data level with the results of the Household Energy Consumption surveys by means of statistical matching. The following variables (V1 to V11), which were present in all data records, were used for the matching, whereby the data records from the Electricity and Gas Journal served as the "donor data records" for the "recipient data records" of the Household Energy Consumption survey because of the detailed information they contained regarding power consumption for non-thermal uses: </w:t>
      </w:r>
    </w:p>
    <w:p w14:paraId="02FABC72" w14:textId="77777777" w:rsidR="00041A29" w:rsidRPr="00676813" w:rsidRDefault="00041A29" w:rsidP="001A22EF">
      <w:pPr>
        <w:pStyle w:val="Listenabsatz1"/>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0" w:firstLine="0"/>
        <w:rPr>
          <w:lang w:val="en-GB"/>
        </w:rPr>
      </w:pPr>
      <w:r w:rsidRPr="00676813">
        <w:rPr>
          <w:lang w:val="en-GB"/>
        </w:rPr>
        <w:t xml:space="preserve">V1: Number of persons in the household (5 categories) </w:t>
      </w:r>
    </w:p>
    <w:p w14:paraId="681C1F61" w14:textId="77777777" w:rsidR="00041A29" w:rsidRPr="00676813" w:rsidRDefault="00041A29" w:rsidP="001A22EF">
      <w:pPr>
        <w:pStyle w:val="Listenabsatz1"/>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0" w:firstLine="0"/>
        <w:rPr>
          <w:lang w:val="en-GB"/>
        </w:rPr>
      </w:pPr>
      <w:r w:rsidRPr="00676813">
        <w:rPr>
          <w:lang w:val="en-GB"/>
        </w:rPr>
        <w:t xml:space="preserve">V2: Number of dwellings in the property (5 categories) </w:t>
      </w:r>
    </w:p>
    <w:p w14:paraId="19ECAE66" w14:textId="77777777" w:rsidR="00041A29" w:rsidRPr="00676813" w:rsidRDefault="00041A29" w:rsidP="001A22EF">
      <w:pPr>
        <w:pStyle w:val="Listenabsatz1"/>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0" w:firstLine="0"/>
        <w:rPr>
          <w:lang w:val="en-GB"/>
        </w:rPr>
      </w:pPr>
      <w:r w:rsidRPr="00676813">
        <w:rPr>
          <w:lang w:val="en-GB"/>
        </w:rPr>
        <w:t xml:space="preserve">V3: Federal province (9 categories) </w:t>
      </w:r>
    </w:p>
    <w:p w14:paraId="27EB4796" w14:textId="77777777" w:rsidR="00041A29" w:rsidRPr="00676813" w:rsidRDefault="00041A29" w:rsidP="001A22EF">
      <w:pPr>
        <w:pStyle w:val="Listenabsatz1"/>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0" w:firstLine="0"/>
        <w:rPr>
          <w:lang w:val="en-GB"/>
        </w:rPr>
      </w:pPr>
      <w:r w:rsidRPr="00676813">
        <w:rPr>
          <w:lang w:val="en-GB"/>
        </w:rPr>
        <w:t xml:space="preserve">V4: Age of property (8 categories) </w:t>
      </w:r>
    </w:p>
    <w:p w14:paraId="082618BE" w14:textId="77777777" w:rsidR="00041A29" w:rsidRPr="00676813" w:rsidRDefault="00041A29" w:rsidP="001A22EF">
      <w:pPr>
        <w:pStyle w:val="Listenabsatz1"/>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0" w:firstLine="0"/>
        <w:rPr>
          <w:lang w:val="en-GB"/>
        </w:rPr>
      </w:pPr>
      <w:r w:rsidRPr="00676813">
        <w:rPr>
          <w:lang w:val="en-GB"/>
        </w:rPr>
        <w:t xml:space="preserve">V5: Legal relationship to the dwelling (6 categories) </w:t>
      </w:r>
    </w:p>
    <w:p w14:paraId="388FDCEF" w14:textId="77777777" w:rsidR="00041A29" w:rsidRPr="00676813" w:rsidRDefault="00041A29" w:rsidP="001A22EF">
      <w:pPr>
        <w:pStyle w:val="Listenabsatz1"/>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0" w:firstLine="0"/>
        <w:rPr>
          <w:lang w:val="en-GB"/>
        </w:rPr>
      </w:pPr>
      <w:r w:rsidRPr="00676813">
        <w:rPr>
          <w:lang w:val="en-GB"/>
        </w:rPr>
        <w:lastRenderedPageBreak/>
        <w:t xml:space="preserve">V6: Use of solar heating (2 categories) </w:t>
      </w:r>
    </w:p>
    <w:p w14:paraId="021B813D" w14:textId="77777777" w:rsidR="00041A29" w:rsidRPr="00676813" w:rsidRDefault="00041A29" w:rsidP="001A22EF">
      <w:pPr>
        <w:pStyle w:val="Listenabsatz1"/>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0" w:firstLine="0"/>
        <w:rPr>
          <w:lang w:val="en-GB"/>
        </w:rPr>
      </w:pPr>
      <w:r w:rsidRPr="00676813">
        <w:rPr>
          <w:lang w:val="en-GB"/>
        </w:rPr>
        <w:t xml:space="preserve">V7: Primary heating system (5 categories) </w:t>
      </w:r>
    </w:p>
    <w:p w14:paraId="7439AE6A" w14:textId="77777777" w:rsidR="00041A29" w:rsidRPr="00676813" w:rsidRDefault="00041A29" w:rsidP="001A22EF">
      <w:pPr>
        <w:pStyle w:val="Listenabsatz1"/>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0" w:firstLine="0"/>
        <w:rPr>
          <w:lang w:val="en-GB"/>
        </w:rPr>
      </w:pPr>
      <w:r w:rsidRPr="00676813">
        <w:rPr>
          <w:lang w:val="en-GB"/>
        </w:rPr>
        <w:t xml:space="preserve">V8: Space heating with electricity (2 categories) </w:t>
      </w:r>
    </w:p>
    <w:p w14:paraId="63E50D9F" w14:textId="77777777" w:rsidR="00041A29" w:rsidRPr="00676813" w:rsidRDefault="00041A29" w:rsidP="001A22EF">
      <w:pPr>
        <w:pStyle w:val="Listenabsatz1"/>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0" w:firstLine="0"/>
        <w:rPr>
          <w:lang w:val="en-GB"/>
        </w:rPr>
      </w:pPr>
      <w:r w:rsidRPr="00676813">
        <w:rPr>
          <w:lang w:val="en-GB"/>
        </w:rPr>
        <w:t xml:space="preserve">V9: Water heating with electricity (2 categories) </w:t>
      </w:r>
    </w:p>
    <w:p w14:paraId="654879EE" w14:textId="77777777" w:rsidR="00041A29" w:rsidRPr="00676813" w:rsidRDefault="00041A29" w:rsidP="001A22EF">
      <w:pPr>
        <w:pStyle w:val="Listenabsatz1"/>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0" w:firstLine="0"/>
        <w:rPr>
          <w:lang w:val="en-GB"/>
        </w:rPr>
      </w:pPr>
      <w:r w:rsidRPr="00676813">
        <w:rPr>
          <w:lang w:val="en-GB"/>
        </w:rPr>
        <w:t xml:space="preserve">V10: Living area (m²) </w:t>
      </w:r>
    </w:p>
    <w:p w14:paraId="287A9241" w14:textId="77777777" w:rsidR="00041A29" w:rsidRPr="00676813" w:rsidRDefault="00041A29" w:rsidP="001A22EF">
      <w:pPr>
        <w:pStyle w:val="Listenabsatz1"/>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0" w:firstLine="0"/>
        <w:rPr>
          <w:lang w:val="en-GB"/>
        </w:rPr>
      </w:pPr>
      <w:r w:rsidRPr="00676813">
        <w:rPr>
          <w:lang w:val="en-GB"/>
        </w:rPr>
        <w:t xml:space="preserve">V11: Overall power consumption (kWh/a) </w:t>
      </w:r>
    </w:p>
    <w:p w14:paraId="01498595" w14:textId="77777777" w:rsidR="00041A29" w:rsidRPr="00676813" w:rsidRDefault="00041A29" w:rsidP="00557E06">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676813">
        <w:t xml:space="preserve">The quantitative variables V10 and V11 were standardised for the matching in all data records, i.e. they were changed so that average=0 and variance=1. For each data record in the </w:t>
      </w:r>
      <w:r w:rsidR="00557E06" w:rsidRPr="00676813">
        <w:t>Household Energy Consumption Survey</w:t>
      </w:r>
      <w:r w:rsidRPr="00676813">
        <w:t xml:space="preserve"> a donor was sought from the data record of the Electricity and Gas Journal with the minimum distance. Where there was more than one donor with the same distance, one donor was randomly selected. In terms of the distance function, where the character of the recipient and potential donor did not match, the variables V1 to V9 were given the value 1, and where they did match, they were given the value 0. In the case of V10 and V11 the absolute difference between the standardised values of V10 and V11 is included in the distance function. This means that the 11 variables are included in the distance function with the same weighting. </w:t>
      </w:r>
    </w:p>
    <w:p w14:paraId="7C9660EB" w14:textId="77777777" w:rsidR="00041A29" w:rsidRPr="00676813" w:rsidRDefault="00041A29" w:rsidP="00557E06">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676813">
        <w:t xml:space="preserve">The linked data records were then recalculated in accordance with the annual series of overall final consumption of electrical energy for private households in </w:t>
      </w:r>
      <w:smartTag w:uri="urn:schemas-microsoft-com:office:smarttags" w:element="country-region">
        <w:smartTag w:uri="urn:schemas-microsoft-com:office:smarttags" w:element="place">
          <w:r w:rsidRPr="00676813">
            <w:t>Austria</w:t>
          </w:r>
        </w:smartTag>
      </w:smartTag>
      <w:r w:rsidRPr="00676813">
        <w:t xml:space="preserve"> up to 2003 and a forecast was generated for the year 2011, from which time series were generated for the detailed uses of electricity in private households. </w:t>
      </w:r>
    </w:p>
    <w:p w14:paraId="301115A1" w14:textId="77777777" w:rsidR="00041A29" w:rsidRPr="00676813" w:rsidRDefault="00041A29" w:rsidP="00557E06">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676813">
        <w:t xml:space="preserve">In the concluding processing phase an analysis was performed on the generated time series with thermal and detailed non-thermal power consumption categories for 2004, 2006, 2008 and 2010 according to socio-economic and regional parameters at household level. </w:t>
      </w:r>
    </w:p>
    <w:p w14:paraId="1A77830E" w14:textId="77777777" w:rsidR="00041A29" w:rsidRPr="00676813" w:rsidRDefault="00041A29" w:rsidP="00557E06">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676813">
        <w:t xml:space="preserve">Household power consumption normally increases with the number of people. In order to investigate the potential effect of socio-economic parameters on power consumption, the power consumption was normalised for the relevant uses by dividing power consumption by the number of persons living in the household. </w:t>
      </w:r>
    </w:p>
    <w:p w14:paraId="75EB6116" w14:textId="77777777" w:rsidR="00041A29" w:rsidRPr="00676813" w:rsidRDefault="00041A29" w:rsidP="00557E06">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676813">
        <w:t xml:space="preserve">For each of the investigated socio-economic parameters, the average figures for power consumption per person in the household for each of the specified uses were then calculated and displayed in tables for the reporting years. </w:t>
      </w:r>
    </w:p>
    <w:p w14:paraId="61F88140" w14:textId="77777777" w:rsidR="00041A29" w:rsidRPr="00676813" w:rsidRDefault="00A12C55" w:rsidP="00E6710F">
      <w:r w:rsidRPr="00676813">
        <w:t>Other country cases</w:t>
      </w:r>
    </w:p>
    <w:p w14:paraId="1583629F" w14:textId="77777777" w:rsidR="00A12C55" w:rsidRPr="00676813" w:rsidRDefault="00816B78" w:rsidP="00E6710F">
      <w:pPr>
        <w:rPr>
          <w:b/>
          <w:lang w:val="lv-LV"/>
        </w:rPr>
      </w:pPr>
      <w:r w:rsidRPr="005C6165">
        <w:rPr>
          <w:b/>
          <w:highlight w:val="yellow"/>
          <w:lang w:val="lv-LV"/>
        </w:rPr>
        <w:t>UK</w:t>
      </w:r>
      <w:r w:rsidR="002D2ED5" w:rsidRPr="005C6165">
        <w:rPr>
          <w:b/>
          <w:highlight w:val="yellow"/>
          <w:lang w:val="lv-LV"/>
        </w:rPr>
        <w:t>?</w:t>
      </w:r>
      <w:r w:rsidR="00986CD9">
        <w:rPr>
          <w:b/>
          <w:highlight w:val="yellow"/>
          <w:lang w:val="lv-LV"/>
        </w:rPr>
        <w:t xml:space="preserve">, </w:t>
      </w:r>
      <w:r w:rsidR="00557E06" w:rsidRPr="005C6165">
        <w:rPr>
          <w:b/>
          <w:highlight w:val="yellow"/>
          <w:lang w:val="lv-LV"/>
        </w:rPr>
        <w:t>Canada</w:t>
      </w:r>
      <w:r w:rsidR="004D69EA" w:rsidRPr="005C6165">
        <w:rPr>
          <w:b/>
          <w:highlight w:val="yellow"/>
          <w:lang w:val="lv-LV"/>
        </w:rPr>
        <w:t>?</w:t>
      </w:r>
      <w:r w:rsidR="00986CD9">
        <w:rPr>
          <w:b/>
          <w:highlight w:val="yellow"/>
          <w:lang w:val="lv-LV"/>
        </w:rPr>
        <w:t xml:space="preserve">, </w:t>
      </w:r>
      <w:r w:rsidR="00557E06" w:rsidRPr="005C6165">
        <w:rPr>
          <w:b/>
          <w:highlight w:val="yellow"/>
          <w:lang w:val="lv-LV"/>
        </w:rPr>
        <w:t>Australia</w:t>
      </w:r>
      <w:r w:rsidR="004D69EA" w:rsidRPr="005C6165">
        <w:rPr>
          <w:b/>
          <w:highlight w:val="yellow"/>
          <w:lang w:val="lv-LV"/>
        </w:rPr>
        <w:t>?</w:t>
      </w:r>
      <w:r w:rsidR="00986CD9">
        <w:rPr>
          <w:b/>
          <w:highlight w:val="yellow"/>
          <w:lang w:val="lv-LV"/>
        </w:rPr>
        <w:t xml:space="preserve">, </w:t>
      </w:r>
      <w:r w:rsidR="004D69EA" w:rsidRPr="005C6165">
        <w:rPr>
          <w:b/>
          <w:highlight w:val="yellow"/>
          <w:lang w:val="lv-LV"/>
        </w:rPr>
        <w:t>Ghana?</w:t>
      </w:r>
      <w:r w:rsidR="00986CD9">
        <w:rPr>
          <w:b/>
          <w:highlight w:val="yellow"/>
          <w:lang w:val="lv-LV"/>
        </w:rPr>
        <w:t xml:space="preserve">, </w:t>
      </w:r>
      <w:r w:rsidR="004D69EA" w:rsidRPr="005C6165">
        <w:rPr>
          <w:b/>
          <w:highlight w:val="yellow"/>
          <w:lang w:val="lv-LV"/>
        </w:rPr>
        <w:t>Azerbaijan?</w:t>
      </w:r>
      <w:r w:rsidR="00986CD9">
        <w:rPr>
          <w:b/>
          <w:highlight w:val="yellow"/>
          <w:lang w:val="lv-LV"/>
        </w:rPr>
        <w:t xml:space="preserve">, </w:t>
      </w:r>
      <w:r w:rsidR="004D69EA" w:rsidRPr="005C6165">
        <w:rPr>
          <w:b/>
          <w:highlight w:val="yellow"/>
          <w:lang w:val="lv-LV"/>
        </w:rPr>
        <w:t>Sweden</w:t>
      </w:r>
      <w:r w:rsidR="00A12C55" w:rsidRPr="005C6165">
        <w:rPr>
          <w:b/>
          <w:highlight w:val="yellow"/>
          <w:lang w:val="lv-LV"/>
        </w:rPr>
        <w:t>?</w:t>
      </w:r>
      <w:r w:rsidR="00986CD9">
        <w:rPr>
          <w:b/>
          <w:highlight w:val="yellow"/>
          <w:lang w:val="lv-LV"/>
        </w:rPr>
        <w:t xml:space="preserve">, </w:t>
      </w:r>
      <w:r w:rsidR="004D69EA" w:rsidRPr="005C6165">
        <w:rPr>
          <w:b/>
          <w:highlight w:val="yellow"/>
          <w:lang w:val="lv-LV"/>
        </w:rPr>
        <w:t>Denmark?</w:t>
      </w:r>
      <w:r w:rsidR="00986CD9">
        <w:rPr>
          <w:b/>
          <w:highlight w:val="yellow"/>
          <w:lang w:val="lv-LV"/>
        </w:rPr>
        <w:t xml:space="preserve">, </w:t>
      </w:r>
      <w:r w:rsidR="004D69EA" w:rsidRPr="005C6165">
        <w:rPr>
          <w:b/>
          <w:highlight w:val="yellow"/>
          <w:lang w:val="lv-LV"/>
        </w:rPr>
        <w:t>Finnland?</w:t>
      </w:r>
      <w:r w:rsidR="00986CD9">
        <w:rPr>
          <w:b/>
          <w:highlight w:val="yellow"/>
          <w:lang w:val="lv-LV"/>
        </w:rPr>
        <w:t xml:space="preserve">, </w:t>
      </w:r>
      <w:r w:rsidR="004D69EA" w:rsidRPr="005C6165">
        <w:rPr>
          <w:b/>
          <w:highlight w:val="yellow"/>
          <w:lang w:val="lv-LV"/>
        </w:rPr>
        <w:t>South Africa?</w:t>
      </w:r>
      <w:r w:rsidR="00986CD9">
        <w:rPr>
          <w:b/>
          <w:highlight w:val="yellow"/>
          <w:lang w:val="lv-LV"/>
        </w:rPr>
        <w:t xml:space="preserve">, </w:t>
      </w:r>
      <w:r w:rsidR="004D69EA" w:rsidRPr="005C6165">
        <w:rPr>
          <w:b/>
          <w:highlight w:val="yellow"/>
          <w:lang w:val="lv-LV"/>
        </w:rPr>
        <w:t>Russia?</w:t>
      </w:r>
      <w:r w:rsidR="00986CD9">
        <w:rPr>
          <w:b/>
          <w:highlight w:val="yellow"/>
          <w:lang w:val="lv-LV"/>
        </w:rPr>
        <w:t xml:space="preserve">, </w:t>
      </w:r>
      <w:r w:rsidR="004D69EA" w:rsidRPr="005C6165">
        <w:rPr>
          <w:b/>
          <w:highlight w:val="yellow"/>
          <w:lang w:val="lv-LV"/>
        </w:rPr>
        <w:t>India?</w:t>
      </w:r>
      <w:r w:rsidR="00986CD9">
        <w:rPr>
          <w:b/>
          <w:highlight w:val="yellow"/>
          <w:lang w:val="lv-LV"/>
        </w:rPr>
        <w:t xml:space="preserve">, </w:t>
      </w:r>
      <w:r w:rsidR="004D69EA" w:rsidRPr="005C6165">
        <w:rPr>
          <w:b/>
          <w:highlight w:val="yellow"/>
          <w:lang w:val="lv-LV"/>
        </w:rPr>
        <w:t>Norway?</w:t>
      </w:r>
      <w:r w:rsidR="00986CD9">
        <w:rPr>
          <w:b/>
          <w:highlight w:val="yellow"/>
          <w:lang w:val="lv-LV"/>
        </w:rPr>
        <w:t xml:space="preserve">, </w:t>
      </w:r>
      <w:r w:rsidR="00A12C55" w:rsidRPr="005C6165">
        <w:rPr>
          <w:b/>
          <w:highlight w:val="yellow"/>
          <w:lang w:val="lv-LV"/>
        </w:rPr>
        <w:t>Malaysia?</w:t>
      </w:r>
      <w:r w:rsidR="00986CD9">
        <w:rPr>
          <w:b/>
          <w:highlight w:val="yellow"/>
          <w:lang w:val="lv-LV"/>
        </w:rPr>
        <w:t xml:space="preserve">, </w:t>
      </w:r>
      <w:r w:rsidR="00A12C55" w:rsidRPr="005C6165">
        <w:rPr>
          <w:b/>
          <w:highlight w:val="yellow"/>
          <w:lang w:val="lv-LV"/>
        </w:rPr>
        <w:t>Ireland?</w:t>
      </w:r>
      <w:r w:rsidR="00986CD9">
        <w:rPr>
          <w:b/>
          <w:highlight w:val="yellow"/>
          <w:lang w:val="lv-LV"/>
        </w:rPr>
        <w:t xml:space="preserve">, </w:t>
      </w:r>
      <w:r w:rsidR="00A12C55" w:rsidRPr="005C6165">
        <w:rPr>
          <w:b/>
          <w:highlight w:val="yellow"/>
          <w:lang w:val="lv-LV"/>
        </w:rPr>
        <w:t>Netherlands?</w:t>
      </w:r>
    </w:p>
    <w:p w14:paraId="6C6B3697" w14:textId="77777777" w:rsidR="000E7567" w:rsidRDefault="000E7567"/>
    <w:sectPr w:rsidR="000E7567" w:rsidSect="006027D1">
      <w:footerReference w:type="default" r:id="rId23"/>
      <w:pgSz w:w="11906" w:h="16838"/>
      <w:pgMar w:top="993"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DFD068" w15:done="0"/>
  <w15:commentEx w15:paraId="2BDEE2D1" w15:done="0"/>
  <w15:commentEx w15:paraId="036CB818" w15:done="0"/>
  <w15:commentEx w15:paraId="52C2AF8B" w15:done="0"/>
  <w15:commentEx w15:paraId="5987E086" w15:done="0"/>
  <w15:commentEx w15:paraId="3AE481A5" w15:done="0"/>
  <w15:commentEx w15:paraId="66FF8D78" w15:done="0"/>
  <w15:commentEx w15:paraId="356F4DFD" w15:done="0"/>
  <w15:commentEx w15:paraId="2597ED0C" w15:done="0"/>
  <w15:commentEx w15:paraId="3646B5A8" w15:done="0"/>
  <w15:commentEx w15:paraId="14D94BFD" w15:done="0"/>
  <w15:commentEx w15:paraId="247793BA" w15:done="0"/>
  <w15:commentEx w15:paraId="0CE63E90" w15:done="0"/>
  <w15:commentEx w15:paraId="590FAEDC" w15:done="0"/>
  <w15:commentEx w15:paraId="59B625A5" w15:done="0"/>
  <w15:commentEx w15:paraId="60BC4A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8BE68" w14:textId="77777777" w:rsidR="00E94348" w:rsidRDefault="00E94348" w:rsidP="001E6FA1">
      <w:pPr>
        <w:spacing w:after="0" w:line="240" w:lineRule="auto"/>
      </w:pPr>
      <w:r>
        <w:separator/>
      </w:r>
    </w:p>
  </w:endnote>
  <w:endnote w:type="continuationSeparator" w:id="0">
    <w:p w14:paraId="3542D9FA" w14:textId="77777777" w:rsidR="00E94348" w:rsidRDefault="00E94348" w:rsidP="001E6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inionPro-Regular">
    <w:altName w:val="Arial Unicode MS"/>
    <w:panose1 w:val="00000000000000000000"/>
    <w:charset w:val="4D"/>
    <w:family w:val="auto"/>
    <w:notTrueType/>
    <w:pitch w:val="default"/>
    <w:sig w:usb0="00000000" w:usb1="08070000" w:usb2="00000010" w:usb3="00000000" w:csb0="00020001" w:csb1="00000000"/>
  </w:font>
  <w:font w:name="DIN Next LT Pro">
    <w:altName w:val="Arial"/>
    <w:panose1 w:val="00000000000000000000"/>
    <w:charset w:val="00"/>
    <w:family w:val="swiss"/>
    <w:notTrueType/>
    <w:pitch w:val="variable"/>
    <w:sig w:usb0="00000001"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687064"/>
      <w:docPartObj>
        <w:docPartGallery w:val="Page Numbers (Bottom of Page)"/>
        <w:docPartUnique/>
      </w:docPartObj>
    </w:sdtPr>
    <w:sdtEndPr>
      <w:rPr>
        <w:noProof/>
      </w:rPr>
    </w:sdtEndPr>
    <w:sdtContent>
      <w:p w14:paraId="4E81153B" w14:textId="77777777" w:rsidR="00C42839" w:rsidRDefault="00C42839">
        <w:pPr>
          <w:pStyle w:val="Footer"/>
          <w:jc w:val="center"/>
        </w:pPr>
        <w:r>
          <w:fldChar w:fldCharType="begin"/>
        </w:r>
        <w:r>
          <w:instrText xml:space="preserve"> PAGE   \* MERGEFORMAT </w:instrText>
        </w:r>
        <w:r>
          <w:fldChar w:fldCharType="separate"/>
        </w:r>
        <w:r w:rsidR="00283756">
          <w:rPr>
            <w:noProof/>
          </w:rPr>
          <w:t>6</w:t>
        </w:r>
        <w:r>
          <w:rPr>
            <w:noProof/>
          </w:rPr>
          <w:fldChar w:fldCharType="end"/>
        </w:r>
      </w:p>
    </w:sdtContent>
  </w:sdt>
  <w:p w14:paraId="49185173" w14:textId="77777777" w:rsidR="00C42839" w:rsidRDefault="00C42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B86C2" w14:textId="77777777" w:rsidR="00E94348" w:rsidRDefault="00E94348" w:rsidP="001E6FA1">
      <w:pPr>
        <w:spacing w:after="0" w:line="240" w:lineRule="auto"/>
      </w:pPr>
      <w:r>
        <w:separator/>
      </w:r>
    </w:p>
  </w:footnote>
  <w:footnote w:type="continuationSeparator" w:id="0">
    <w:p w14:paraId="76F3C3EB" w14:textId="77777777" w:rsidR="00E94348" w:rsidRDefault="00E94348" w:rsidP="001E6FA1">
      <w:pPr>
        <w:spacing w:after="0" w:line="240" w:lineRule="auto"/>
      </w:pPr>
      <w:r>
        <w:continuationSeparator/>
      </w:r>
    </w:p>
  </w:footnote>
  <w:footnote w:id="1">
    <w:p w14:paraId="5407A48E" w14:textId="642EEF63" w:rsidR="00C42839" w:rsidRPr="004B7451" w:rsidRDefault="00C42839">
      <w:pPr>
        <w:pStyle w:val="FootnoteText"/>
        <w:rPr>
          <w:lang w:val="en-US"/>
        </w:rPr>
      </w:pPr>
      <w:r>
        <w:rPr>
          <w:rStyle w:val="FootnoteReference"/>
        </w:rPr>
        <w:footnoteRef/>
      </w:r>
      <w:r>
        <w:t xml:space="preserve"> </w:t>
      </w:r>
      <w:r w:rsidRPr="00CD76C1">
        <w:t>OECD Glossary of Statistical Terms http://stats.oecd.org/glossary/</w:t>
      </w:r>
    </w:p>
  </w:footnote>
  <w:footnote w:id="2">
    <w:p w14:paraId="375814BD" w14:textId="70592E54" w:rsidR="00C42839" w:rsidRPr="00EF7E35" w:rsidRDefault="00C42839">
      <w:pPr>
        <w:pStyle w:val="FootnoteText"/>
      </w:pPr>
      <w:r>
        <w:rPr>
          <w:rStyle w:val="FootnoteReference"/>
        </w:rPr>
        <w:footnoteRef/>
      </w:r>
      <w:r>
        <w:t xml:space="preserve"> See IRES table 5.1</w:t>
      </w:r>
    </w:p>
  </w:footnote>
  <w:footnote w:id="3">
    <w:p w14:paraId="5DEEB64C" w14:textId="77777777" w:rsidR="00C42839" w:rsidRPr="00FA039E" w:rsidRDefault="00C42839" w:rsidP="00C61151">
      <w:pPr>
        <w:pStyle w:val="FootnoteText"/>
      </w:pPr>
      <w:r>
        <w:rPr>
          <w:rStyle w:val="FootnoteReference"/>
        </w:rPr>
        <w:footnoteRef/>
      </w:r>
      <w:r>
        <w:t xml:space="preserve"> As input for modelling the respective production</w:t>
      </w:r>
    </w:p>
  </w:footnote>
  <w:footnote w:id="4">
    <w:p w14:paraId="7A7AA7D6" w14:textId="1717F33D" w:rsidR="00C42839" w:rsidRPr="004D2B77" w:rsidRDefault="00C42839">
      <w:pPr>
        <w:pStyle w:val="FootnoteText"/>
      </w:pPr>
      <w:r>
        <w:rPr>
          <w:rStyle w:val="FootnoteReference"/>
        </w:rPr>
        <w:footnoteRef/>
      </w:r>
      <w:r>
        <w:t xml:space="preserve"> Full list see IRES section 5.64</w:t>
      </w:r>
    </w:p>
  </w:footnote>
  <w:footnote w:id="5">
    <w:p w14:paraId="4E85AF62" w14:textId="285331E5" w:rsidR="00C42839" w:rsidRPr="004D2B77" w:rsidRDefault="00C42839">
      <w:pPr>
        <w:pStyle w:val="FootnoteText"/>
      </w:pPr>
      <w:r>
        <w:rPr>
          <w:rStyle w:val="FootnoteReference"/>
        </w:rPr>
        <w:footnoteRef/>
      </w:r>
      <w:r>
        <w:t xml:space="preserve"> See IRES table 5.3</w:t>
      </w:r>
    </w:p>
  </w:footnote>
  <w:footnote w:id="6">
    <w:p w14:paraId="79A61924" w14:textId="77777777" w:rsidR="00C42839" w:rsidRPr="00984EC1" w:rsidRDefault="00C42839">
      <w:pPr>
        <w:pStyle w:val="FootnoteText"/>
      </w:pPr>
      <w:r>
        <w:rPr>
          <w:rStyle w:val="FootnoteReference"/>
        </w:rPr>
        <w:footnoteRef/>
      </w:r>
      <w:r>
        <w:t xml:space="preserve"> </w:t>
      </w:r>
      <w:r w:rsidRPr="00984EC1">
        <w:t xml:space="preserve">See also </w:t>
      </w:r>
      <w:r>
        <w:t>I</w:t>
      </w:r>
      <w:r w:rsidRPr="00984EC1">
        <w:t>RES Chapter 7.D.2 Administrative data sources</w:t>
      </w:r>
    </w:p>
  </w:footnote>
  <w:footnote w:id="7">
    <w:p w14:paraId="741F7269" w14:textId="77777777" w:rsidR="00C42839" w:rsidRDefault="00C42839" w:rsidP="006B674C">
      <w:pPr>
        <w:pStyle w:val="FootnoteText"/>
        <w:rPr>
          <w:rFonts w:cs="Times New Roman"/>
        </w:rPr>
      </w:pPr>
      <w:r>
        <w:rPr>
          <w:rStyle w:val="FootnoteReference"/>
        </w:rPr>
        <w:footnoteRef/>
      </w:r>
      <w:r>
        <w:t xml:space="preserve"> </w:t>
      </w:r>
      <w:r>
        <w:rPr>
          <w:sz w:val="16"/>
          <w:szCs w:val="16"/>
        </w:rPr>
        <w:t>Actually the data is matched to several registers to make up for coverage issues</w:t>
      </w:r>
      <w:r>
        <w:t xml:space="preserve">. </w:t>
      </w:r>
    </w:p>
  </w:footnote>
  <w:footnote w:id="8">
    <w:p w14:paraId="75751B8E" w14:textId="77777777" w:rsidR="00C42839" w:rsidRPr="00984EC1" w:rsidRDefault="00C42839">
      <w:pPr>
        <w:pStyle w:val="FootnoteText"/>
      </w:pPr>
      <w:r>
        <w:rPr>
          <w:rStyle w:val="FootnoteReference"/>
        </w:rPr>
        <w:footnoteRef/>
      </w:r>
      <w:r>
        <w:t xml:space="preserve"> </w:t>
      </w:r>
      <w:r w:rsidRPr="00984EC1">
        <w:t xml:space="preserve">See also </w:t>
      </w:r>
      <w:proofErr w:type="gramStart"/>
      <w:r>
        <w:t>I</w:t>
      </w:r>
      <w:r w:rsidRPr="00984EC1">
        <w:t>RES Chapter 7.D.</w:t>
      </w:r>
      <w:r>
        <w:t>1</w:t>
      </w:r>
      <w:r w:rsidRPr="00984EC1">
        <w:t xml:space="preserve"> </w:t>
      </w:r>
      <w:r>
        <w:t>Statistical</w:t>
      </w:r>
      <w:r w:rsidRPr="00984EC1">
        <w:t xml:space="preserve"> data sources</w:t>
      </w:r>
      <w:r>
        <w:t xml:space="preserve"> that provides</w:t>
      </w:r>
      <w:proofErr w:type="gramEnd"/>
      <w:r>
        <w:t xml:space="preserve"> a survey breakdown by respondents.</w:t>
      </w:r>
    </w:p>
  </w:footnote>
  <w:footnote w:id="9">
    <w:p w14:paraId="28AF08B4" w14:textId="77777777" w:rsidR="00C42839" w:rsidRPr="00050137" w:rsidRDefault="00C42839">
      <w:pPr>
        <w:pStyle w:val="FootnoteText"/>
        <w:rPr>
          <w:lang w:val="de-DE"/>
        </w:rPr>
      </w:pPr>
      <w:r>
        <w:rPr>
          <w:rStyle w:val="FootnoteReference"/>
        </w:rPr>
        <w:footnoteRef/>
      </w:r>
      <w:r>
        <w:t xml:space="preserve"> </w:t>
      </w:r>
      <w:r>
        <w:rPr>
          <w:lang w:val="de-DE"/>
        </w:rPr>
        <w:t>See Country example Austria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C86646"/>
    <w:multiLevelType w:val="hybridMultilevel"/>
    <w:tmpl w:val="1730F134"/>
    <w:lvl w:ilvl="0" w:tplc="0C0A0001">
      <w:start w:val="1"/>
      <w:numFmt w:val="bullet"/>
      <w:lvlText w:val=""/>
      <w:lvlJc w:val="left"/>
      <w:pPr>
        <w:ind w:left="720" w:hanging="360"/>
      </w:pPr>
      <w:rPr>
        <w:rFonts w:ascii="Symbol" w:hAnsi="Symbol" w:hint="default"/>
      </w:rPr>
    </w:lvl>
    <w:lvl w:ilvl="1" w:tplc="1F08E402">
      <w:numFmt w:val="bullet"/>
      <w:lvlText w:val="-"/>
      <w:lvlJc w:val="left"/>
      <w:pPr>
        <w:ind w:left="1440" w:hanging="360"/>
      </w:pPr>
      <w:rPr>
        <w:rFonts w:ascii="Times" w:eastAsia="Times New Roman" w:hAnsi="Times" w:cs="Time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631355E"/>
    <w:multiLevelType w:val="hybridMultilevel"/>
    <w:tmpl w:val="1D406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3E7FAF"/>
    <w:multiLevelType w:val="hybridMultilevel"/>
    <w:tmpl w:val="743E0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877A40"/>
    <w:multiLevelType w:val="hybridMultilevel"/>
    <w:tmpl w:val="98CA2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F02FFC"/>
    <w:multiLevelType w:val="hybridMultilevel"/>
    <w:tmpl w:val="45E4B4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AC10593"/>
    <w:multiLevelType w:val="hybridMultilevel"/>
    <w:tmpl w:val="62ACBD26"/>
    <w:lvl w:ilvl="0" w:tplc="0B04EA4E">
      <w:start w:val="5"/>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10084B"/>
    <w:multiLevelType w:val="multilevel"/>
    <w:tmpl w:val="ECD09BD2"/>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1FCB71E1"/>
    <w:multiLevelType w:val="hybridMultilevel"/>
    <w:tmpl w:val="18FCEE2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7EC332D"/>
    <w:multiLevelType w:val="hybridMultilevel"/>
    <w:tmpl w:val="4D3C5A40"/>
    <w:lvl w:ilvl="0" w:tplc="E42E7B22">
      <w:start w:val="1"/>
      <w:numFmt w:val="bullet"/>
      <w:pStyle w:val="Listenabsatz1"/>
      <w:lvlText w:val=""/>
      <w:lvlJc w:val="left"/>
      <w:pPr>
        <w:ind w:left="473" w:hanging="360"/>
      </w:pPr>
      <w:rPr>
        <w:rFonts w:ascii="Wingdings" w:hAnsi="Wingdings" w:cs="Times New Roman" w:hint="default"/>
        <w:color w:val="800000"/>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cs="Times New Roman" w:hint="default"/>
      </w:rPr>
    </w:lvl>
    <w:lvl w:ilvl="3" w:tplc="0C070001">
      <w:start w:val="1"/>
      <w:numFmt w:val="bullet"/>
      <w:lvlText w:val=""/>
      <w:lvlJc w:val="left"/>
      <w:pPr>
        <w:ind w:left="3600" w:hanging="360"/>
      </w:pPr>
      <w:rPr>
        <w:rFonts w:ascii="Symbol" w:hAnsi="Symbol" w:cs="Times New Roman"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cs="Times New Roman" w:hint="default"/>
      </w:rPr>
    </w:lvl>
    <w:lvl w:ilvl="6" w:tplc="0C070001">
      <w:start w:val="1"/>
      <w:numFmt w:val="bullet"/>
      <w:lvlText w:val=""/>
      <w:lvlJc w:val="left"/>
      <w:pPr>
        <w:ind w:left="5760" w:hanging="360"/>
      </w:pPr>
      <w:rPr>
        <w:rFonts w:ascii="Symbol" w:hAnsi="Symbol" w:cs="Times New Roman"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cs="Times New Roman" w:hint="default"/>
      </w:rPr>
    </w:lvl>
  </w:abstractNum>
  <w:abstractNum w:abstractNumId="10">
    <w:nsid w:val="2E646202"/>
    <w:multiLevelType w:val="hybridMultilevel"/>
    <w:tmpl w:val="74F8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883E63"/>
    <w:multiLevelType w:val="hybridMultilevel"/>
    <w:tmpl w:val="5E2E6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0380E1A"/>
    <w:multiLevelType w:val="hybridMultilevel"/>
    <w:tmpl w:val="681A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170CA0"/>
    <w:multiLevelType w:val="hybridMultilevel"/>
    <w:tmpl w:val="14D20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D62DF9"/>
    <w:multiLevelType w:val="hybridMultilevel"/>
    <w:tmpl w:val="AFD03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F492156"/>
    <w:multiLevelType w:val="hybridMultilevel"/>
    <w:tmpl w:val="185289E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nsid w:val="43CF2E4A"/>
    <w:multiLevelType w:val="hybridMultilevel"/>
    <w:tmpl w:val="A28A0552"/>
    <w:lvl w:ilvl="0" w:tplc="08090015">
      <w:start w:val="1"/>
      <w:numFmt w:val="upperLetter"/>
      <w:lvlText w:val="%1."/>
      <w:lvlJc w:val="left"/>
      <w:pPr>
        <w:ind w:left="720" w:hanging="360"/>
      </w:pPr>
      <w:rPr>
        <w:rFonts w:hint="default"/>
      </w:rPr>
    </w:lvl>
    <w:lvl w:ilvl="1" w:tplc="577E0DF4">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4F15BB"/>
    <w:multiLevelType w:val="hybridMultilevel"/>
    <w:tmpl w:val="B6BE2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73563F"/>
    <w:multiLevelType w:val="multilevel"/>
    <w:tmpl w:val="D646DC38"/>
    <w:lvl w:ilvl="0">
      <w:start w:val="1"/>
      <w:numFmt w:val="bullet"/>
      <w:lvlText w:val=""/>
      <w:lvlJc w:val="left"/>
      <w:pPr>
        <w:ind w:left="-2095" w:hanging="360"/>
      </w:pPr>
      <w:rPr>
        <w:rFonts w:ascii="Symbol" w:hAnsi="Symbol" w:hint="default"/>
      </w:rPr>
    </w:lvl>
    <w:lvl w:ilvl="1">
      <w:start w:val="3"/>
      <w:numFmt w:val="decimal"/>
      <w:lvlText w:val="%1.%2."/>
      <w:lvlJc w:val="left"/>
      <w:pPr>
        <w:ind w:left="-1663" w:hanging="432"/>
      </w:pPr>
    </w:lvl>
    <w:lvl w:ilvl="2">
      <w:start w:val="2"/>
      <w:numFmt w:val="decimal"/>
      <w:lvlText w:val="%1.%2.%3."/>
      <w:lvlJc w:val="left"/>
      <w:pPr>
        <w:ind w:left="-1231" w:hanging="504"/>
      </w:pPr>
    </w:lvl>
    <w:lvl w:ilvl="3">
      <w:start w:val="1"/>
      <w:numFmt w:val="decimal"/>
      <w:lvlText w:val="%1.%2.%3.%4."/>
      <w:lvlJc w:val="left"/>
      <w:pPr>
        <w:ind w:left="-727" w:hanging="648"/>
      </w:pPr>
    </w:lvl>
    <w:lvl w:ilvl="4">
      <w:start w:val="1"/>
      <w:numFmt w:val="decimal"/>
      <w:lvlText w:val="%1.%2.%3.%4.%5."/>
      <w:lvlJc w:val="left"/>
      <w:pPr>
        <w:ind w:left="-223" w:hanging="792"/>
      </w:pPr>
    </w:lvl>
    <w:lvl w:ilvl="5">
      <w:start w:val="1"/>
      <w:numFmt w:val="decimal"/>
      <w:lvlText w:val="%1.%2.%3.%4.%5.%6."/>
      <w:lvlJc w:val="left"/>
      <w:pPr>
        <w:ind w:left="281" w:hanging="936"/>
      </w:pPr>
    </w:lvl>
    <w:lvl w:ilvl="6">
      <w:start w:val="1"/>
      <w:numFmt w:val="decimal"/>
      <w:lvlText w:val="%1.%2.%3.%4.%5.%6.%7."/>
      <w:lvlJc w:val="left"/>
      <w:pPr>
        <w:ind w:left="785" w:hanging="1080"/>
      </w:pPr>
    </w:lvl>
    <w:lvl w:ilvl="7">
      <w:start w:val="1"/>
      <w:numFmt w:val="decimal"/>
      <w:lvlText w:val="%1.%2.%3.%4.%5.%6.%7.%8."/>
      <w:lvlJc w:val="left"/>
      <w:pPr>
        <w:ind w:left="1289" w:hanging="1224"/>
      </w:pPr>
    </w:lvl>
    <w:lvl w:ilvl="8">
      <w:start w:val="1"/>
      <w:numFmt w:val="decimal"/>
      <w:lvlText w:val="%1.%2.%3.%4.%5.%6.%7.%8.%9."/>
      <w:lvlJc w:val="left"/>
      <w:pPr>
        <w:ind w:left="1865" w:hanging="1440"/>
      </w:pPr>
    </w:lvl>
  </w:abstractNum>
  <w:abstractNum w:abstractNumId="19">
    <w:nsid w:val="532D2655"/>
    <w:multiLevelType w:val="hybridMultilevel"/>
    <w:tmpl w:val="A0C093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FB27D96"/>
    <w:multiLevelType w:val="multilevel"/>
    <w:tmpl w:val="3CBE9124"/>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49F7EC4"/>
    <w:multiLevelType w:val="hybridMultilevel"/>
    <w:tmpl w:val="EAFA2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7CA7FA3"/>
    <w:multiLevelType w:val="hybridMultilevel"/>
    <w:tmpl w:val="CFA69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A727507"/>
    <w:multiLevelType w:val="hybridMultilevel"/>
    <w:tmpl w:val="D1BEE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F2A7711"/>
    <w:multiLevelType w:val="hybridMultilevel"/>
    <w:tmpl w:val="107834E0"/>
    <w:lvl w:ilvl="0" w:tplc="04070003">
      <w:start w:val="1"/>
      <w:numFmt w:val="bullet"/>
      <w:lvlText w:val=""/>
      <w:lvlJc w:val="left"/>
      <w:pPr>
        <w:ind w:left="720" w:hanging="360"/>
      </w:pPr>
      <w:rPr>
        <w:rFonts w:ascii="Wingdings" w:hAnsi="Wingdings" w:cs="Times New Roman" w:hint="default"/>
        <w:color w:val="80000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cs="Times New Roman" w:hint="default"/>
      </w:rPr>
    </w:lvl>
    <w:lvl w:ilvl="3" w:tplc="0C070001">
      <w:start w:val="1"/>
      <w:numFmt w:val="bullet"/>
      <w:lvlText w:val=""/>
      <w:lvlJc w:val="left"/>
      <w:pPr>
        <w:ind w:left="2880" w:hanging="360"/>
      </w:pPr>
      <w:rPr>
        <w:rFonts w:ascii="Symbol" w:hAnsi="Symbol" w:cs="Times New Roman"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cs="Times New Roman" w:hint="default"/>
      </w:rPr>
    </w:lvl>
    <w:lvl w:ilvl="6" w:tplc="0C070001">
      <w:start w:val="1"/>
      <w:numFmt w:val="bullet"/>
      <w:lvlText w:val=""/>
      <w:lvlJc w:val="left"/>
      <w:pPr>
        <w:ind w:left="5040" w:hanging="360"/>
      </w:pPr>
      <w:rPr>
        <w:rFonts w:ascii="Symbol" w:hAnsi="Symbol" w:cs="Times New Roman"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cs="Times New Roman" w:hint="default"/>
      </w:rPr>
    </w:lvl>
  </w:abstractNum>
  <w:abstractNum w:abstractNumId="25">
    <w:nsid w:val="71587BBE"/>
    <w:multiLevelType w:val="hybridMultilevel"/>
    <w:tmpl w:val="45705EF4"/>
    <w:lvl w:ilvl="0" w:tplc="86722AF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4D8479F"/>
    <w:multiLevelType w:val="hybridMultilevel"/>
    <w:tmpl w:val="C922BF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nsid w:val="787B664E"/>
    <w:multiLevelType w:val="hybridMultilevel"/>
    <w:tmpl w:val="10D89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B03D18"/>
    <w:multiLevelType w:val="hybridMultilevel"/>
    <w:tmpl w:val="CA4AF61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321F1B"/>
    <w:multiLevelType w:val="hybridMultilevel"/>
    <w:tmpl w:val="F6C69BB6"/>
    <w:lvl w:ilvl="0" w:tplc="0C070001">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30">
    <w:nsid w:val="7F647A44"/>
    <w:multiLevelType w:val="hybridMultilevel"/>
    <w:tmpl w:val="B5760CE4"/>
    <w:lvl w:ilvl="0" w:tplc="04070003">
      <w:start w:val="1"/>
      <w:numFmt w:val="bullet"/>
      <w:lvlText w:val=""/>
      <w:lvlJc w:val="left"/>
      <w:pPr>
        <w:ind w:left="720" w:hanging="360"/>
      </w:pPr>
      <w:rPr>
        <w:rFonts w:ascii="Wingdings" w:hAnsi="Wingdings" w:cs="Times New Roman" w:hint="default"/>
        <w:color w:val="80000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cs="Times New Roman" w:hint="default"/>
      </w:rPr>
    </w:lvl>
    <w:lvl w:ilvl="3" w:tplc="0C070001">
      <w:start w:val="1"/>
      <w:numFmt w:val="bullet"/>
      <w:lvlText w:val=""/>
      <w:lvlJc w:val="left"/>
      <w:pPr>
        <w:ind w:left="2880" w:hanging="360"/>
      </w:pPr>
      <w:rPr>
        <w:rFonts w:ascii="Symbol" w:hAnsi="Symbol" w:cs="Times New Roman"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cs="Times New Roman" w:hint="default"/>
      </w:rPr>
    </w:lvl>
    <w:lvl w:ilvl="6" w:tplc="0C070001">
      <w:start w:val="1"/>
      <w:numFmt w:val="bullet"/>
      <w:lvlText w:val=""/>
      <w:lvlJc w:val="left"/>
      <w:pPr>
        <w:ind w:left="5040" w:hanging="360"/>
      </w:pPr>
      <w:rPr>
        <w:rFonts w:ascii="Symbol" w:hAnsi="Symbol" w:cs="Times New Roman"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cs="Times New Roman" w:hint="default"/>
      </w:rPr>
    </w:lvl>
  </w:abstractNum>
  <w:num w:numId="1">
    <w:abstractNumId w:val="16"/>
  </w:num>
  <w:num w:numId="2">
    <w:abstractNumId w:val="28"/>
  </w:num>
  <w:num w:numId="3">
    <w:abstractNumId w:val="2"/>
  </w:num>
  <w:num w:numId="4">
    <w:abstractNumId w:val="27"/>
  </w:num>
  <w:num w:numId="5">
    <w:abstractNumId w:val="13"/>
  </w:num>
  <w:num w:numId="6">
    <w:abstractNumId w:val="12"/>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6"/>
  </w:num>
  <w:num w:numId="9">
    <w:abstractNumId w:val="25"/>
  </w:num>
  <w:num w:numId="10">
    <w:abstractNumId w:val="9"/>
  </w:num>
  <w:num w:numId="11">
    <w:abstractNumId w:val="24"/>
  </w:num>
  <w:num w:numId="12">
    <w:abstractNumId w:val="30"/>
  </w:num>
  <w:num w:numId="13">
    <w:abstractNumId w:val="17"/>
  </w:num>
  <w:num w:numId="14">
    <w:abstractNumId w:val="11"/>
  </w:num>
  <w:num w:numId="15">
    <w:abstractNumId w:val="5"/>
  </w:num>
  <w:num w:numId="16">
    <w:abstractNumId w:val="19"/>
  </w:num>
  <w:num w:numId="17">
    <w:abstractNumId w:val="22"/>
  </w:num>
  <w:num w:numId="18">
    <w:abstractNumId w:val="3"/>
  </w:num>
  <w:num w:numId="19">
    <w:abstractNumId w:val="18"/>
    <w:lvlOverride w:ilvl="0"/>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6"/>
  </w:num>
  <w:num w:numId="2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9"/>
  </w:num>
  <w:num w:numId="25">
    <w:abstractNumId w:val="7"/>
  </w:num>
  <w:num w:numId="26">
    <w:abstractNumId w:val="23"/>
  </w:num>
  <w:num w:numId="27">
    <w:abstractNumId w:val="4"/>
  </w:num>
  <w:num w:numId="28">
    <w:abstractNumId w:val="14"/>
  </w:num>
  <w:num w:numId="29">
    <w:abstractNumId w:val="21"/>
  </w:num>
  <w:num w:numId="30">
    <w:abstractNumId w:val="1"/>
  </w:num>
  <w:num w:numId="31">
    <w:abstractNumId w:val="10"/>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tike Htike Kyaw Soe">
    <w15:presenceInfo w15:providerId="Windows Live" w15:userId="7b4558f211624d3d"/>
  </w15:person>
  <w15:person w15:author="Ralf Becker">
    <w15:presenceInfo w15:providerId="None" w15:userId="Ralf Becker"/>
  </w15:person>
  <w15:person w15:author="Htike Htike Kyaw Soe [2]">
    <w15:presenceInfo w15:providerId="None" w15:userId="Htike Htike Kyaw S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58"/>
    <w:rsid w:val="00002822"/>
    <w:rsid w:val="00012C8F"/>
    <w:rsid w:val="00014476"/>
    <w:rsid w:val="00017A26"/>
    <w:rsid w:val="00023FF9"/>
    <w:rsid w:val="00032441"/>
    <w:rsid w:val="0003415D"/>
    <w:rsid w:val="0004048C"/>
    <w:rsid w:val="00041A29"/>
    <w:rsid w:val="00050137"/>
    <w:rsid w:val="000703AE"/>
    <w:rsid w:val="00073F0A"/>
    <w:rsid w:val="00076387"/>
    <w:rsid w:val="000779E3"/>
    <w:rsid w:val="00077A60"/>
    <w:rsid w:val="000805D2"/>
    <w:rsid w:val="0008482D"/>
    <w:rsid w:val="00087586"/>
    <w:rsid w:val="00090044"/>
    <w:rsid w:val="0009788D"/>
    <w:rsid w:val="000A36B3"/>
    <w:rsid w:val="000A502D"/>
    <w:rsid w:val="000B5349"/>
    <w:rsid w:val="000B6A46"/>
    <w:rsid w:val="000C29EF"/>
    <w:rsid w:val="000C6624"/>
    <w:rsid w:val="000C67B5"/>
    <w:rsid w:val="000D34F7"/>
    <w:rsid w:val="000D55C5"/>
    <w:rsid w:val="000E1C02"/>
    <w:rsid w:val="000E2DAD"/>
    <w:rsid w:val="000E4359"/>
    <w:rsid w:val="000E4682"/>
    <w:rsid w:val="000E7567"/>
    <w:rsid w:val="0010026D"/>
    <w:rsid w:val="00110799"/>
    <w:rsid w:val="00111162"/>
    <w:rsid w:val="001204D8"/>
    <w:rsid w:val="00120E81"/>
    <w:rsid w:val="00122EB7"/>
    <w:rsid w:val="0012346F"/>
    <w:rsid w:val="00136087"/>
    <w:rsid w:val="001452DE"/>
    <w:rsid w:val="001455EE"/>
    <w:rsid w:val="0015034D"/>
    <w:rsid w:val="00151F9F"/>
    <w:rsid w:val="001703F8"/>
    <w:rsid w:val="001723F2"/>
    <w:rsid w:val="00172909"/>
    <w:rsid w:val="00172F53"/>
    <w:rsid w:val="00184174"/>
    <w:rsid w:val="00185790"/>
    <w:rsid w:val="001A22EF"/>
    <w:rsid w:val="001B4B9A"/>
    <w:rsid w:val="001B6472"/>
    <w:rsid w:val="001B6A19"/>
    <w:rsid w:val="001B73B3"/>
    <w:rsid w:val="001D57C0"/>
    <w:rsid w:val="001D5DC4"/>
    <w:rsid w:val="001E25E3"/>
    <w:rsid w:val="001E6FA1"/>
    <w:rsid w:val="001F6E78"/>
    <w:rsid w:val="002022D2"/>
    <w:rsid w:val="002052DE"/>
    <w:rsid w:val="002078B2"/>
    <w:rsid w:val="00207DC0"/>
    <w:rsid w:val="00212EF0"/>
    <w:rsid w:val="00212FF4"/>
    <w:rsid w:val="002139CA"/>
    <w:rsid w:val="00221D26"/>
    <w:rsid w:val="002240FD"/>
    <w:rsid w:val="00231107"/>
    <w:rsid w:val="0023372E"/>
    <w:rsid w:val="002373EA"/>
    <w:rsid w:val="00243F20"/>
    <w:rsid w:val="00250425"/>
    <w:rsid w:val="002565DD"/>
    <w:rsid w:val="0026064F"/>
    <w:rsid w:val="00264FB6"/>
    <w:rsid w:val="00265DE1"/>
    <w:rsid w:val="00270570"/>
    <w:rsid w:val="00272CC0"/>
    <w:rsid w:val="002744CB"/>
    <w:rsid w:val="00283756"/>
    <w:rsid w:val="0028425D"/>
    <w:rsid w:val="0029357A"/>
    <w:rsid w:val="002A0DFE"/>
    <w:rsid w:val="002A25A2"/>
    <w:rsid w:val="002A3969"/>
    <w:rsid w:val="002A7B50"/>
    <w:rsid w:val="002B12B1"/>
    <w:rsid w:val="002B369D"/>
    <w:rsid w:val="002C1FF0"/>
    <w:rsid w:val="002C75F2"/>
    <w:rsid w:val="002D2ED5"/>
    <w:rsid w:val="002D4FD4"/>
    <w:rsid w:val="002E5512"/>
    <w:rsid w:val="002F3780"/>
    <w:rsid w:val="002F7AED"/>
    <w:rsid w:val="00303CCD"/>
    <w:rsid w:val="003154C2"/>
    <w:rsid w:val="003221BB"/>
    <w:rsid w:val="00325757"/>
    <w:rsid w:val="0033321E"/>
    <w:rsid w:val="003413E9"/>
    <w:rsid w:val="00343DEB"/>
    <w:rsid w:val="00347080"/>
    <w:rsid w:val="0035099D"/>
    <w:rsid w:val="0036547E"/>
    <w:rsid w:val="003670E6"/>
    <w:rsid w:val="003775E5"/>
    <w:rsid w:val="00385975"/>
    <w:rsid w:val="00386855"/>
    <w:rsid w:val="003935BF"/>
    <w:rsid w:val="003A186D"/>
    <w:rsid w:val="003A3992"/>
    <w:rsid w:val="003A5D0D"/>
    <w:rsid w:val="003B1EA4"/>
    <w:rsid w:val="003B4AC8"/>
    <w:rsid w:val="003C01E4"/>
    <w:rsid w:val="003C08CD"/>
    <w:rsid w:val="003C0DDE"/>
    <w:rsid w:val="003C5975"/>
    <w:rsid w:val="003D6F73"/>
    <w:rsid w:val="003E3A62"/>
    <w:rsid w:val="003F0A3C"/>
    <w:rsid w:val="003F10D3"/>
    <w:rsid w:val="003F1D7E"/>
    <w:rsid w:val="003F2870"/>
    <w:rsid w:val="003F6906"/>
    <w:rsid w:val="004051CD"/>
    <w:rsid w:val="00411480"/>
    <w:rsid w:val="0041442D"/>
    <w:rsid w:val="00420BA4"/>
    <w:rsid w:val="0042306A"/>
    <w:rsid w:val="0042394A"/>
    <w:rsid w:val="00424AEE"/>
    <w:rsid w:val="0042771F"/>
    <w:rsid w:val="00432670"/>
    <w:rsid w:val="00432E13"/>
    <w:rsid w:val="00440A84"/>
    <w:rsid w:val="00441770"/>
    <w:rsid w:val="00441E9F"/>
    <w:rsid w:val="00457F45"/>
    <w:rsid w:val="00465664"/>
    <w:rsid w:val="0046619C"/>
    <w:rsid w:val="00475175"/>
    <w:rsid w:val="0048003A"/>
    <w:rsid w:val="00485C38"/>
    <w:rsid w:val="004905B8"/>
    <w:rsid w:val="00491C31"/>
    <w:rsid w:val="00493156"/>
    <w:rsid w:val="00495E6F"/>
    <w:rsid w:val="00496F15"/>
    <w:rsid w:val="004B299B"/>
    <w:rsid w:val="004B4D42"/>
    <w:rsid w:val="004B736A"/>
    <w:rsid w:val="004B7451"/>
    <w:rsid w:val="004C3048"/>
    <w:rsid w:val="004C5ED1"/>
    <w:rsid w:val="004D2B77"/>
    <w:rsid w:val="004D3A85"/>
    <w:rsid w:val="004D69EA"/>
    <w:rsid w:val="004E2740"/>
    <w:rsid w:val="004E4766"/>
    <w:rsid w:val="004E5D7F"/>
    <w:rsid w:val="004F0433"/>
    <w:rsid w:val="004F11A5"/>
    <w:rsid w:val="004F16DA"/>
    <w:rsid w:val="004F37CF"/>
    <w:rsid w:val="00505778"/>
    <w:rsid w:val="00507922"/>
    <w:rsid w:val="00513CCF"/>
    <w:rsid w:val="0052045A"/>
    <w:rsid w:val="00523AC0"/>
    <w:rsid w:val="00524D3E"/>
    <w:rsid w:val="00530944"/>
    <w:rsid w:val="00530BED"/>
    <w:rsid w:val="0053521F"/>
    <w:rsid w:val="005456D2"/>
    <w:rsid w:val="00551958"/>
    <w:rsid w:val="00553E8A"/>
    <w:rsid w:val="00555BA4"/>
    <w:rsid w:val="00557E06"/>
    <w:rsid w:val="00565394"/>
    <w:rsid w:val="0057035D"/>
    <w:rsid w:val="00570569"/>
    <w:rsid w:val="005714A9"/>
    <w:rsid w:val="00577629"/>
    <w:rsid w:val="00580A63"/>
    <w:rsid w:val="00583221"/>
    <w:rsid w:val="00584BEE"/>
    <w:rsid w:val="00586543"/>
    <w:rsid w:val="005869D1"/>
    <w:rsid w:val="0059065A"/>
    <w:rsid w:val="00597474"/>
    <w:rsid w:val="005A6C87"/>
    <w:rsid w:val="005B3F33"/>
    <w:rsid w:val="005B58E5"/>
    <w:rsid w:val="005B67C5"/>
    <w:rsid w:val="005C31EA"/>
    <w:rsid w:val="005C5711"/>
    <w:rsid w:val="005C6165"/>
    <w:rsid w:val="005D0D12"/>
    <w:rsid w:val="005E6776"/>
    <w:rsid w:val="005E717D"/>
    <w:rsid w:val="005F13C3"/>
    <w:rsid w:val="005F1FE8"/>
    <w:rsid w:val="005F1FEC"/>
    <w:rsid w:val="005F255D"/>
    <w:rsid w:val="005F281E"/>
    <w:rsid w:val="005F57A4"/>
    <w:rsid w:val="006027D1"/>
    <w:rsid w:val="006035E2"/>
    <w:rsid w:val="00607DB2"/>
    <w:rsid w:val="00622C92"/>
    <w:rsid w:val="0062479E"/>
    <w:rsid w:val="006277E7"/>
    <w:rsid w:val="00635D3F"/>
    <w:rsid w:val="00637331"/>
    <w:rsid w:val="00644A53"/>
    <w:rsid w:val="006478F1"/>
    <w:rsid w:val="00661AFC"/>
    <w:rsid w:val="0067422B"/>
    <w:rsid w:val="00675AAE"/>
    <w:rsid w:val="00676813"/>
    <w:rsid w:val="00693AFD"/>
    <w:rsid w:val="00693B33"/>
    <w:rsid w:val="006B00A6"/>
    <w:rsid w:val="006B16CA"/>
    <w:rsid w:val="006B1D21"/>
    <w:rsid w:val="006B3E78"/>
    <w:rsid w:val="006B674C"/>
    <w:rsid w:val="006C7190"/>
    <w:rsid w:val="006C7F7B"/>
    <w:rsid w:val="006D5BD4"/>
    <w:rsid w:val="006E1926"/>
    <w:rsid w:val="006E2960"/>
    <w:rsid w:val="006E2D1F"/>
    <w:rsid w:val="006F6749"/>
    <w:rsid w:val="00705A90"/>
    <w:rsid w:val="0071087C"/>
    <w:rsid w:val="00712421"/>
    <w:rsid w:val="007212E3"/>
    <w:rsid w:val="0072434C"/>
    <w:rsid w:val="007258B6"/>
    <w:rsid w:val="00734BBE"/>
    <w:rsid w:val="00736337"/>
    <w:rsid w:val="0074179C"/>
    <w:rsid w:val="007506E7"/>
    <w:rsid w:val="00756631"/>
    <w:rsid w:val="007578A1"/>
    <w:rsid w:val="0076289D"/>
    <w:rsid w:val="00766422"/>
    <w:rsid w:val="00770893"/>
    <w:rsid w:val="00777A57"/>
    <w:rsid w:val="00786FEF"/>
    <w:rsid w:val="007919EB"/>
    <w:rsid w:val="007B0ADD"/>
    <w:rsid w:val="007B7B2A"/>
    <w:rsid w:val="007B7D4A"/>
    <w:rsid w:val="007B7E63"/>
    <w:rsid w:val="007C27A4"/>
    <w:rsid w:val="007D0BA1"/>
    <w:rsid w:val="007D162A"/>
    <w:rsid w:val="007D1991"/>
    <w:rsid w:val="007D5210"/>
    <w:rsid w:val="007D7E47"/>
    <w:rsid w:val="007E3A65"/>
    <w:rsid w:val="007F2822"/>
    <w:rsid w:val="008015A5"/>
    <w:rsid w:val="00812B60"/>
    <w:rsid w:val="008168CA"/>
    <w:rsid w:val="00816B78"/>
    <w:rsid w:val="00824CFC"/>
    <w:rsid w:val="0082724C"/>
    <w:rsid w:val="00830F24"/>
    <w:rsid w:val="008313F2"/>
    <w:rsid w:val="0083168B"/>
    <w:rsid w:val="008332D3"/>
    <w:rsid w:val="0084393D"/>
    <w:rsid w:val="00844AEE"/>
    <w:rsid w:val="00846560"/>
    <w:rsid w:val="00847964"/>
    <w:rsid w:val="008510E2"/>
    <w:rsid w:val="00855F18"/>
    <w:rsid w:val="00873546"/>
    <w:rsid w:val="0087478F"/>
    <w:rsid w:val="0087789A"/>
    <w:rsid w:val="00882838"/>
    <w:rsid w:val="00884FEB"/>
    <w:rsid w:val="008871CF"/>
    <w:rsid w:val="00890F85"/>
    <w:rsid w:val="00891842"/>
    <w:rsid w:val="008941D4"/>
    <w:rsid w:val="008A6FB2"/>
    <w:rsid w:val="008B7064"/>
    <w:rsid w:val="008C1948"/>
    <w:rsid w:val="008D1AE8"/>
    <w:rsid w:val="008D59EA"/>
    <w:rsid w:val="008D5BC8"/>
    <w:rsid w:val="008E2645"/>
    <w:rsid w:val="008E4DC7"/>
    <w:rsid w:val="008F1267"/>
    <w:rsid w:val="00902DA9"/>
    <w:rsid w:val="00910B13"/>
    <w:rsid w:val="00913FFA"/>
    <w:rsid w:val="0092034C"/>
    <w:rsid w:val="00921277"/>
    <w:rsid w:val="00936A1A"/>
    <w:rsid w:val="009437FB"/>
    <w:rsid w:val="00945B24"/>
    <w:rsid w:val="00951F80"/>
    <w:rsid w:val="00953467"/>
    <w:rsid w:val="009618B3"/>
    <w:rsid w:val="00966954"/>
    <w:rsid w:val="009766FF"/>
    <w:rsid w:val="009834A4"/>
    <w:rsid w:val="00984EC1"/>
    <w:rsid w:val="00986CD9"/>
    <w:rsid w:val="009929BF"/>
    <w:rsid w:val="0099423A"/>
    <w:rsid w:val="0099619D"/>
    <w:rsid w:val="009A10F7"/>
    <w:rsid w:val="009B3495"/>
    <w:rsid w:val="009B5EE8"/>
    <w:rsid w:val="009B7B4A"/>
    <w:rsid w:val="009C1320"/>
    <w:rsid w:val="009C7F45"/>
    <w:rsid w:val="009D1089"/>
    <w:rsid w:val="009D46FD"/>
    <w:rsid w:val="009D5B19"/>
    <w:rsid w:val="009D6201"/>
    <w:rsid w:val="009D6F6D"/>
    <w:rsid w:val="009E7291"/>
    <w:rsid w:val="009F3771"/>
    <w:rsid w:val="009F605A"/>
    <w:rsid w:val="00A03134"/>
    <w:rsid w:val="00A03915"/>
    <w:rsid w:val="00A055CE"/>
    <w:rsid w:val="00A07907"/>
    <w:rsid w:val="00A12C55"/>
    <w:rsid w:val="00A15E57"/>
    <w:rsid w:val="00A20D17"/>
    <w:rsid w:val="00A217E1"/>
    <w:rsid w:val="00A240B5"/>
    <w:rsid w:val="00A2676A"/>
    <w:rsid w:val="00A3045E"/>
    <w:rsid w:val="00A34778"/>
    <w:rsid w:val="00A421A3"/>
    <w:rsid w:val="00A461BA"/>
    <w:rsid w:val="00A461E1"/>
    <w:rsid w:val="00A47B48"/>
    <w:rsid w:val="00A47D4C"/>
    <w:rsid w:val="00A523FA"/>
    <w:rsid w:val="00A528A6"/>
    <w:rsid w:val="00A54B24"/>
    <w:rsid w:val="00A56701"/>
    <w:rsid w:val="00A66005"/>
    <w:rsid w:val="00A6685B"/>
    <w:rsid w:val="00A83F82"/>
    <w:rsid w:val="00A84AD1"/>
    <w:rsid w:val="00A87276"/>
    <w:rsid w:val="00A904D7"/>
    <w:rsid w:val="00A92FEB"/>
    <w:rsid w:val="00AA33D9"/>
    <w:rsid w:val="00AB2E8A"/>
    <w:rsid w:val="00AB3C6C"/>
    <w:rsid w:val="00AC2CB2"/>
    <w:rsid w:val="00AE4A97"/>
    <w:rsid w:val="00AE4C25"/>
    <w:rsid w:val="00AF3A03"/>
    <w:rsid w:val="00B0010A"/>
    <w:rsid w:val="00B00C84"/>
    <w:rsid w:val="00B13048"/>
    <w:rsid w:val="00B20070"/>
    <w:rsid w:val="00B34573"/>
    <w:rsid w:val="00B44159"/>
    <w:rsid w:val="00B473D8"/>
    <w:rsid w:val="00B60999"/>
    <w:rsid w:val="00B775EC"/>
    <w:rsid w:val="00B823E8"/>
    <w:rsid w:val="00B82558"/>
    <w:rsid w:val="00B900A6"/>
    <w:rsid w:val="00B92C9A"/>
    <w:rsid w:val="00B947FC"/>
    <w:rsid w:val="00B9517E"/>
    <w:rsid w:val="00B973C8"/>
    <w:rsid w:val="00BB2C95"/>
    <w:rsid w:val="00BB4EA6"/>
    <w:rsid w:val="00BD1C1F"/>
    <w:rsid w:val="00BD5AC0"/>
    <w:rsid w:val="00BE45A9"/>
    <w:rsid w:val="00BE54F3"/>
    <w:rsid w:val="00C00422"/>
    <w:rsid w:val="00C0176E"/>
    <w:rsid w:val="00C06C20"/>
    <w:rsid w:val="00C0766E"/>
    <w:rsid w:val="00C07F04"/>
    <w:rsid w:val="00C108FB"/>
    <w:rsid w:val="00C11982"/>
    <w:rsid w:val="00C16989"/>
    <w:rsid w:val="00C252B0"/>
    <w:rsid w:val="00C419F7"/>
    <w:rsid w:val="00C42839"/>
    <w:rsid w:val="00C52B9B"/>
    <w:rsid w:val="00C54875"/>
    <w:rsid w:val="00C5523A"/>
    <w:rsid w:val="00C61151"/>
    <w:rsid w:val="00C7379D"/>
    <w:rsid w:val="00C80F79"/>
    <w:rsid w:val="00C83DAE"/>
    <w:rsid w:val="00C91E33"/>
    <w:rsid w:val="00C960CF"/>
    <w:rsid w:val="00CA171A"/>
    <w:rsid w:val="00CB257E"/>
    <w:rsid w:val="00CB71C7"/>
    <w:rsid w:val="00CC312D"/>
    <w:rsid w:val="00CC32BF"/>
    <w:rsid w:val="00CD4228"/>
    <w:rsid w:val="00CD50E5"/>
    <w:rsid w:val="00CD55D9"/>
    <w:rsid w:val="00CD5B28"/>
    <w:rsid w:val="00CD70C1"/>
    <w:rsid w:val="00CD76C1"/>
    <w:rsid w:val="00CE1308"/>
    <w:rsid w:val="00CF0DCE"/>
    <w:rsid w:val="00CF1D7A"/>
    <w:rsid w:val="00CF7119"/>
    <w:rsid w:val="00D017DE"/>
    <w:rsid w:val="00D06D12"/>
    <w:rsid w:val="00D20320"/>
    <w:rsid w:val="00D20D2F"/>
    <w:rsid w:val="00D30432"/>
    <w:rsid w:val="00D32796"/>
    <w:rsid w:val="00D4142F"/>
    <w:rsid w:val="00D61AF4"/>
    <w:rsid w:val="00D67B99"/>
    <w:rsid w:val="00D80A87"/>
    <w:rsid w:val="00D8414B"/>
    <w:rsid w:val="00D901FF"/>
    <w:rsid w:val="00D93145"/>
    <w:rsid w:val="00D93BFD"/>
    <w:rsid w:val="00D97395"/>
    <w:rsid w:val="00DA08EB"/>
    <w:rsid w:val="00DA51E5"/>
    <w:rsid w:val="00DA56A3"/>
    <w:rsid w:val="00DA5797"/>
    <w:rsid w:val="00DB3023"/>
    <w:rsid w:val="00DC40E5"/>
    <w:rsid w:val="00DC7C1D"/>
    <w:rsid w:val="00DE1D09"/>
    <w:rsid w:val="00DE67C8"/>
    <w:rsid w:val="00DF09AD"/>
    <w:rsid w:val="00DF0BA7"/>
    <w:rsid w:val="00DF5057"/>
    <w:rsid w:val="00E004D8"/>
    <w:rsid w:val="00E13A5F"/>
    <w:rsid w:val="00E21031"/>
    <w:rsid w:val="00E25A95"/>
    <w:rsid w:val="00E26EA1"/>
    <w:rsid w:val="00E35AC1"/>
    <w:rsid w:val="00E377C6"/>
    <w:rsid w:val="00E412FD"/>
    <w:rsid w:val="00E4466C"/>
    <w:rsid w:val="00E4472C"/>
    <w:rsid w:val="00E5511F"/>
    <w:rsid w:val="00E6606B"/>
    <w:rsid w:val="00E6710F"/>
    <w:rsid w:val="00E677BA"/>
    <w:rsid w:val="00E73D2E"/>
    <w:rsid w:val="00E873A7"/>
    <w:rsid w:val="00E90E5B"/>
    <w:rsid w:val="00E912C8"/>
    <w:rsid w:val="00E91C86"/>
    <w:rsid w:val="00E92118"/>
    <w:rsid w:val="00E9259D"/>
    <w:rsid w:val="00E92626"/>
    <w:rsid w:val="00E936F6"/>
    <w:rsid w:val="00E94348"/>
    <w:rsid w:val="00EA5ABF"/>
    <w:rsid w:val="00EA6134"/>
    <w:rsid w:val="00EA6C42"/>
    <w:rsid w:val="00EA7F4C"/>
    <w:rsid w:val="00EB36B9"/>
    <w:rsid w:val="00EB5382"/>
    <w:rsid w:val="00EC7AB3"/>
    <w:rsid w:val="00ED51C3"/>
    <w:rsid w:val="00ED64D0"/>
    <w:rsid w:val="00EE0CB1"/>
    <w:rsid w:val="00EE6DD8"/>
    <w:rsid w:val="00EE7521"/>
    <w:rsid w:val="00EF256D"/>
    <w:rsid w:val="00EF6F13"/>
    <w:rsid w:val="00EF7E35"/>
    <w:rsid w:val="00F1320F"/>
    <w:rsid w:val="00F17786"/>
    <w:rsid w:val="00F23D20"/>
    <w:rsid w:val="00F249AF"/>
    <w:rsid w:val="00F332D9"/>
    <w:rsid w:val="00F50E58"/>
    <w:rsid w:val="00F526BD"/>
    <w:rsid w:val="00F53657"/>
    <w:rsid w:val="00F558BA"/>
    <w:rsid w:val="00F565E5"/>
    <w:rsid w:val="00F631DA"/>
    <w:rsid w:val="00F72C88"/>
    <w:rsid w:val="00F91F59"/>
    <w:rsid w:val="00FA039E"/>
    <w:rsid w:val="00FA14F4"/>
    <w:rsid w:val="00FA2A7E"/>
    <w:rsid w:val="00FA7FB0"/>
    <w:rsid w:val="00FB6FA8"/>
    <w:rsid w:val="00FC3F6E"/>
    <w:rsid w:val="00FC61B3"/>
    <w:rsid w:val="00FC71D7"/>
    <w:rsid w:val="00FD059B"/>
    <w:rsid w:val="00FD7511"/>
    <w:rsid w:val="00FE0AD6"/>
    <w:rsid w:val="00FE336A"/>
    <w:rsid w:val="00FE64A6"/>
    <w:rsid w:val="00FF04EE"/>
    <w:rsid w:val="00FF0572"/>
    <w:rsid w:val="00FF136E"/>
    <w:rsid w:val="00FF61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2E20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58"/>
    <w:pPr>
      <w:spacing w:after="120"/>
    </w:pPr>
    <w:rPr>
      <w:rFonts w:ascii="Arial" w:hAnsi="Arial"/>
      <w:lang w:val="en-GB"/>
    </w:rPr>
  </w:style>
  <w:style w:type="paragraph" w:styleId="Heading1">
    <w:name w:val="heading 1"/>
    <w:basedOn w:val="Normal"/>
    <w:next w:val="Normal"/>
    <w:link w:val="Heading1Char"/>
    <w:uiPriority w:val="9"/>
    <w:qFormat/>
    <w:rsid w:val="00C83DAE"/>
    <w:pPr>
      <w:keepNext/>
      <w:keepLines/>
      <w:spacing w:before="12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qFormat/>
    <w:rsid w:val="00551958"/>
    <w:pPr>
      <w:keepNext/>
      <w:spacing w:before="240" w:after="60" w:line="240" w:lineRule="auto"/>
      <w:outlineLvl w:val="1"/>
    </w:pPr>
    <w:rPr>
      <w:rFonts w:eastAsia="MS Mincho" w:cs="Arial"/>
      <w:b/>
      <w:bCs/>
      <w:i/>
      <w:iCs/>
      <w:sz w:val="28"/>
      <w:szCs w:val="28"/>
      <w:lang w:val="lv-LV"/>
    </w:rPr>
  </w:style>
  <w:style w:type="paragraph" w:styleId="Heading3">
    <w:name w:val="heading 3"/>
    <w:basedOn w:val="Normal"/>
    <w:next w:val="Normal"/>
    <w:link w:val="Heading3Char"/>
    <w:uiPriority w:val="9"/>
    <w:semiHidden/>
    <w:unhideWhenUsed/>
    <w:qFormat/>
    <w:rsid w:val="006C71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01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1958"/>
    <w:rPr>
      <w:rFonts w:ascii="Arial" w:eastAsia="MS Mincho" w:hAnsi="Arial" w:cs="Arial"/>
      <w:b/>
      <w:bCs/>
      <w:i/>
      <w:iCs/>
      <w:sz w:val="28"/>
      <w:szCs w:val="28"/>
      <w:lang w:val="lv-LV"/>
    </w:rPr>
  </w:style>
  <w:style w:type="paragraph" w:customStyle="1" w:styleId="StyleHeading1Centered">
    <w:name w:val="Style Heading 1 + Centered"/>
    <w:basedOn w:val="Heading1"/>
    <w:rsid w:val="00551958"/>
    <w:pPr>
      <w:keepLines w:val="0"/>
      <w:spacing w:before="240" w:after="60" w:line="240" w:lineRule="auto"/>
      <w:jc w:val="center"/>
    </w:pPr>
    <w:rPr>
      <w:rFonts w:ascii="Arial" w:eastAsia="MS Mincho" w:hAnsi="Arial" w:cs="Arial"/>
      <w:kern w:val="32"/>
      <w:sz w:val="32"/>
      <w:szCs w:val="32"/>
      <w:lang w:val="lv-LV"/>
    </w:rPr>
  </w:style>
  <w:style w:type="paragraph" w:styleId="ListParagraph">
    <w:name w:val="List Paragraph"/>
    <w:basedOn w:val="Normal"/>
    <w:uiPriority w:val="99"/>
    <w:qFormat/>
    <w:rsid w:val="00551958"/>
    <w:pPr>
      <w:ind w:left="720"/>
      <w:contextualSpacing/>
    </w:pPr>
  </w:style>
  <w:style w:type="character" w:customStyle="1" w:styleId="Heading1Char">
    <w:name w:val="Heading 1 Char"/>
    <w:basedOn w:val="DefaultParagraphFont"/>
    <w:link w:val="Heading1"/>
    <w:uiPriority w:val="9"/>
    <w:rsid w:val="00C83DAE"/>
    <w:rPr>
      <w:rFonts w:asciiTheme="majorHAnsi" w:eastAsiaTheme="majorEastAsia" w:hAnsiTheme="majorHAnsi" w:cstheme="majorBidi"/>
      <w:b/>
      <w:bCs/>
      <w:sz w:val="28"/>
      <w:szCs w:val="28"/>
      <w:lang w:val="en-GB"/>
    </w:rPr>
  </w:style>
  <w:style w:type="paragraph" w:styleId="NoSpacing">
    <w:name w:val="No Spacing"/>
    <w:link w:val="NoSpacingChar"/>
    <w:uiPriority w:val="1"/>
    <w:qFormat/>
    <w:rsid w:val="007D1991"/>
    <w:pPr>
      <w:spacing w:after="0" w:line="240" w:lineRule="auto"/>
    </w:pPr>
    <w:rPr>
      <w:rFonts w:ascii="Arial" w:hAnsi="Arial"/>
      <w:lang w:val="en-GB"/>
    </w:rPr>
  </w:style>
  <w:style w:type="character" w:styleId="Strong">
    <w:name w:val="Strong"/>
    <w:basedOn w:val="DefaultParagraphFont"/>
    <w:uiPriority w:val="22"/>
    <w:qFormat/>
    <w:rsid w:val="009437FB"/>
    <w:rPr>
      <w:b/>
      <w:bCs/>
    </w:rPr>
  </w:style>
  <w:style w:type="paragraph" w:styleId="BalloonText">
    <w:name w:val="Balloon Text"/>
    <w:basedOn w:val="Normal"/>
    <w:link w:val="BalloonTextChar"/>
    <w:uiPriority w:val="99"/>
    <w:semiHidden/>
    <w:unhideWhenUsed/>
    <w:rsid w:val="00816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B78"/>
    <w:rPr>
      <w:rFonts w:ascii="Tahoma" w:hAnsi="Tahoma" w:cs="Tahoma"/>
      <w:sz w:val="16"/>
      <w:szCs w:val="16"/>
      <w:lang w:val="en-GB"/>
    </w:rPr>
  </w:style>
  <w:style w:type="paragraph" w:customStyle="1" w:styleId="Default">
    <w:name w:val="Default"/>
    <w:rsid w:val="00041A29"/>
    <w:pPr>
      <w:autoSpaceDE w:val="0"/>
      <w:autoSpaceDN w:val="0"/>
      <w:adjustRightInd w:val="0"/>
      <w:spacing w:after="0" w:line="240" w:lineRule="auto"/>
    </w:pPr>
    <w:rPr>
      <w:rFonts w:ascii="Arial" w:eastAsia="Times New Roman" w:hAnsi="Arial" w:cs="Arial"/>
      <w:color w:val="000000"/>
      <w:sz w:val="24"/>
      <w:szCs w:val="24"/>
      <w:lang w:eastAsia="de-AT"/>
    </w:rPr>
  </w:style>
  <w:style w:type="paragraph" w:customStyle="1" w:styleId="Listenabsatz1">
    <w:name w:val="Listenabsatz1"/>
    <w:basedOn w:val="Normal"/>
    <w:rsid w:val="00041A29"/>
    <w:pPr>
      <w:numPr>
        <w:numId w:val="10"/>
      </w:numPr>
      <w:spacing w:after="240" w:line="360" w:lineRule="auto"/>
      <w:jc w:val="both"/>
    </w:pPr>
    <w:rPr>
      <w:rFonts w:eastAsia="Times New Roman" w:cs="Arial"/>
      <w:snapToGrid w:val="0"/>
      <w:lang w:val="de-AT"/>
    </w:rPr>
  </w:style>
  <w:style w:type="character" w:styleId="Hyperlink">
    <w:name w:val="Hyperlink"/>
    <w:basedOn w:val="DefaultParagraphFont"/>
    <w:uiPriority w:val="99"/>
    <w:rsid w:val="00041A29"/>
    <w:rPr>
      <w:rFonts w:ascii="Times New Roman" w:hAnsi="Times New Roman" w:cs="Times New Roman"/>
      <w:color w:val="0000FF"/>
      <w:u w:val="single"/>
    </w:rPr>
  </w:style>
  <w:style w:type="paragraph" w:styleId="Caption">
    <w:name w:val="caption"/>
    <w:basedOn w:val="Normal"/>
    <w:next w:val="Normal"/>
    <w:uiPriority w:val="99"/>
    <w:qFormat/>
    <w:rsid w:val="0036547E"/>
    <w:pPr>
      <w:spacing w:after="0" w:line="240" w:lineRule="auto"/>
    </w:pPr>
    <w:rPr>
      <w:rFonts w:ascii="Times New Roman" w:eastAsia="Times New Roman" w:hAnsi="Times New Roman" w:cs="Times New Roman"/>
      <w:b/>
      <w:bCs/>
      <w:sz w:val="20"/>
      <w:szCs w:val="20"/>
      <w:lang w:val="el-GR" w:eastAsia="el-GR"/>
    </w:rPr>
  </w:style>
  <w:style w:type="character" w:styleId="FollowedHyperlink">
    <w:name w:val="FollowedHyperlink"/>
    <w:basedOn w:val="DefaultParagraphFont"/>
    <w:uiPriority w:val="99"/>
    <w:semiHidden/>
    <w:unhideWhenUsed/>
    <w:rsid w:val="00A92FEB"/>
    <w:rPr>
      <w:color w:val="800080" w:themeColor="followedHyperlink"/>
      <w:u w:val="single"/>
    </w:rPr>
  </w:style>
  <w:style w:type="paragraph" w:styleId="FootnoteText">
    <w:name w:val="footnote text"/>
    <w:basedOn w:val="Normal"/>
    <w:link w:val="FootnoteTextChar"/>
    <w:uiPriority w:val="99"/>
    <w:semiHidden/>
    <w:unhideWhenUsed/>
    <w:rsid w:val="001E6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FA1"/>
    <w:rPr>
      <w:rFonts w:ascii="Arial" w:hAnsi="Arial"/>
      <w:sz w:val="20"/>
      <w:szCs w:val="20"/>
      <w:lang w:val="en-GB"/>
    </w:rPr>
  </w:style>
  <w:style w:type="character" w:styleId="FootnoteReference">
    <w:name w:val="footnote reference"/>
    <w:basedOn w:val="DefaultParagraphFont"/>
    <w:uiPriority w:val="99"/>
    <w:semiHidden/>
    <w:unhideWhenUsed/>
    <w:rsid w:val="001E6FA1"/>
    <w:rPr>
      <w:vertAlign w:val="superscript"/>
    </w:rPr>
  </w:style>
  <w:style w:type="paragraph" w:styleId="Header">
    <w:name w:val="header"/>
    <w:basedOn w:val="Normal"/>
    <w:link w:val="HeaderChar"/>
    <w:uiPriority w:val="99"/>
    <w:unhideWhenUsed/>
    <w:rsid w:val="002311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1107"/>
    <w:rPr>
      <w:rFonts w:ascii="Arial" w:hAnsi="Arial"/>
      <w:lang w:val="en-GB"/>
    </w:rPr>
  </w:style>
  <w:style w:type="paragraph" w:styleId="Footer">
    <w:name w:val="footer"/>
    <w:basedOn w:val="Normal"/>
    <w:link w:val="FooterChar"/>
    <w:uiPriority w:val="99"/>
    <w:unhideWhenUsed/>
    <w:rsid w:val="002311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1107"/>
    <w:rPr>
      <w:rFonts w:ascii="Arial" w:hAnsi="Arial"/>
      <w:lang w:val="en-GB"/>
    </w:rPr>
  </w:style>
  <w:style w:type="character" w:customStyle="1" w:styleId="NoSpacingChar">
    <w:name w:val="No Spacing Char"/>
    <w:basedOn w:val="DefaultParagraphFont"/>
    <w:link w:val="NoSpacing"/>
    <w:uiPriority w:val="1"/>
    <w:rsid w:val="00231107"/>
    <w:rPr>
      <w:rFonts w:ascii="Arial" w:hAnsi="Arial"/>
      <w:lang w:val="en-GB"/>
    </w:rPr>
  </w:style>
  <w:style w:type="character" w:customStyle="1" w:styleId="Heading4Char">
    <w:name w:val="Heading 4 Char"/>
    <w:basedOn w:val="DefaultParagraphFont"/>
    <w:link w:val="Heading4"/>
    <w:uiPriority w:val="9"/>
    <w:semiHidden/>
    <w:rsid w:val="00050137"/>
    <w:rPr>
      <w:rFonts w:asciiTheme="majorHAnsi" w:eastAsiaTheme="majorEastAsia" w:hAnsiTheme="majorHAnsi" w:cstheme="majorBidi"/>
      <w:b/>
      <w:bCs/>
      <w:i/>
      <w:iCs/>
      <w:color w:val="4F81BD" w:themeColor="accent1"/>
      <w:lang w:val="en-GB"/>
    </w:rPr>
  </w:style>
  <w:style w:type="character" w:customStyle="1" w:styleId="graph-table-mapsourceChar">
    <w:name w:val="graph-table-map source Char"/>
    <w:link w:val="graph-table-mapsource"/>
    <w:uiPriority w:val="99"/>
    <w:locked/>
    <w:rsid w:val="006B674C"/>
    <w:rPr>
      <w:rFonts w:ascii="Times-Roman" w:hAnsi="Times-Roman" w:cs="Times-Roman"/>
      <w:color w:val="000000"/>
    </w:rPr>
  </w:style>
  <w:style w:type="paragraph" w:customStyle="1" w:styleId="graph-table-mapsource">
    <w:name w:val="graph-table-map source"/>
    <w:basedOn w:val="Normal"/>
    <w:link w:val="graph-table-mapsourceChar"/>
    <w:uiPriority w:val="99"/>
    <w:rsid w:val="006B674C"/>
    <w:pPr>
      <w:widowControl w:val="0"/>
      <w:autoSpaceDE w:val="0"/>
      <w:autoSpaceDN w:val="0"/>
      <w:adjustRightInd w:val="0"/>
      <w:spacing w:after="113" w:line="288" w:lineRule="auto"/>
      <w:jc w:val="both"/>
    </w:pPr>
    <w:rPr>
      <w:rFonts w:ascii="Times-Roman" w:hAnsi="Times-Roman" w:cs="Times-Roman"/>
      <w:color w:val="000000"/>
      <w:lang w:val="de-AT"/>
    </w:rPr>
  </w:style>
  <w:style w:type="paragraph" w:customStyle="1" w:styleId="graph-table-maptitle">
    <w:name w:val="graph-table-map title"/>
    <w:basedOn w:val="Normal"/>
    <w:uiPriority w:val="99"/>
    <w:qFormat/>
    <w:rsid w:val="006B674C"/>
    <w:pPr>
      <w:widowControl w:val="0"/>
      <w:autoSpaceDE w:val="0"/>
      <w:autoSpaceDN w:val="0"/>
      <w:adjustRightInd w:val="0"/>
      <w:spacing w:after="113" w:line="288" w:lineRule="auto"/>
      <w:jc w:val="both"/>
    </w:pPr>
    <w:rPr>
      <w:rFonts w:ascii="Times-Roman" w:eastAsia="Times New Roman" w:hAnsi="Times-Roman" w:cs="Times-Roman"/>
      <w:color w:val="000000"/>
      <w:sz w:val="20"/>
      <w:szCs w:val="20"/>
    </w:rPr>
  </w:style>
  <w:style w:type="paragraph" w:styleId="NormalWeb">
    <w:name w:val="Normal (Web)"/>
    <w:basedOn w:val="Normal"/>
    <w:uiPriority w:val="99"/>
    <w:semiHidden/>
    <w:unhideWhenUsed/>
    <w:rsid w:val="002A0DFE"/>
    <w:pPr>
      <w:spacing w:before="100" w:beforeAutospacing="1" w:after="100" w:afterAutospacing="1" w:line="240" w:lineRule="auto"/>
    </w:pPr>
    <w:rPr>
      <w:rFonts w:ascii="Times New Roman" w:eastAsiaTheme="minorEastAsia" w:hAnsi="Times New Roman" w:cs="Times New Roman"/>
      <w:sz w:val="24"/>
      <w:szCs w:val="24"/>
      <w:lang w:val="de-AT" w:eastAsia="de-AT"/>
    </w:rPr>
  </w:style>
  <w:style w:type="paragraph" w:customStyle="1" w:styleId="BodyText1">
    <w:name w:val="Body Text1"/>
    <w:basedOn w:val="Normal"/>
    <w:uiPriority w:val="99"/>
    <w:qFormat/>
    <w:rsid w:val="00C07F04"/>
    <w:pPr>
      <w:widowControl w:val="0"/>
      <w:autoSpaceDE w:val="0"/>
      <w:autoSpaceDN w:val="0"/>
      <w:adjustRightInd w:val="0"/>
      <w:spacing w:after="113" w:line="236" w:lineRule="atLeast"/>
      <w:jc w:val="both"/>
    </w:pPr>
    <w:rPr>
      <w:rFonts w:ascii="Times" w:eastAsia="Times New Roman" w:hAnsi="Times" w:cs="MinionPro-Regular"/>
      <w:color w:val="000000"/>
      <w:sz w:val="20"/>
      <w:szCs w:val="20"/>
    </w:rPr>
  </w:style>
  <w:style w:type="table" w:styleId="TableGrid">
    <w:name w:val="Table Grid"/>
    <w:basedOn w:val="TableNormal"/>
    <w:uiPriority w:val="59"/>
    <w:rsid w:val="00DE1D0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Justified">
    <w:name w:val="Style Heading 3 + Justified"/>
    <w:basedOn w:val="Heading3"/>
    <w:rsid w:val="006C7190"/>
    <w:pPr>
      <w:keepLines w:val="0"/>
      <w:suppressAutoHyphens/>
      <w:spacing w:before="240" w:after="240" w:line="240" w:lineRule="auto"/>
      <w:jc w:val="both"/>
    </w:pPr>
    <w:rPr>
      <w:rFonts w:ascii="Times New Roman" w:eastAsia="Times New Roman" w:hAnsi="Times New Roman" w:cs="Times New Roman"/>
      <w:bCs w:val="0"/>
      <w:color w:val="auto"/>
      <w:szCs w:val="20"/>
      <w:lang w:val="nb-NO" w:eastAsia="nb-NO"/>
    </w:rPr>
  </w:style>
  <w:style w:type="character" w:customStyle="1" w:styleId="Heading3Char">
    <w:name w:val="Heading 3 Char"/>
    <w:basedOn w:val="DefaultParagraphFont"/>
    <w:link w:val="Heading3"/>
    <w:uiPriority w:val="9"/>
    <w:semiHidden/>
    <w:rsid w:val="006C7190"/>
    <w:rPr>
      <w:rFonts w:asciiTheme="majorHAnsi" w:eastAsiaTheme="majorEastAsia" w:hAnsiTheme="majorHAnsi" w:cstheme="majorBidi"/>
      <w:b/>
      <w:bCs/>
      <w:color w:val="4F81BD" w:themeColor="accent1"/>
      <w:lang w:val="en-GB"/>
    </w:rPr>
  </w:style>
  <w:style w:type="character" w:styleId="CommentReference">
    <w:name w:val="annotation reference"/>
    <w:basedOn w:val="DefaultParagraphFont"/>
    <w:unhideWhenUsed/>
    <w:rsid w:val="009D46FD"/>
    <w:rPr>
      <w:sz w:val="16"/>
      <w:szCs w:val="16"/>
    </w:rPr>
  </w:style>
  <w:style w:type="paragraph" w:styleId="CommentText">
    <w:name w:val="annotation text"/>
    <w:basedOn w:val="Normal"/>
    <w:link w:val="CommentTextChar"/>
    <w:unhideWhenUsed/>
    <w:rsid w:val="009D46FD"/>
    <w:pPr>
      <w:spacing w:line="240" w:lineRule="auto"/>
    </w:pPr>
    <w:rPr>
      <w:sz w:val="20"/>
      <w:szCs w:val="20"/>
    </w:rPr>
  </w:style>
  <w:style w:type="character" w:customStyle="1" w:styleId="CommentTextChar">
    <w:name w:val="Comment Text Char"/>
    <w:basedOn w:val="DefaultParagraphFont"/>
    <w:link w:val="CommentText"/>
    <w:rsid w:val="009D46FD"/>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9D46FD"/>
    <w:rPr>
      <w:b/>
      <w:bCs/>
    </w:rPr>
  </w:style>
  <w:style w:type="character" w:customStyle="1" w:styleId="CommentSubjectChar">
    <w:name w:val="Comment Subject Char"/>
    <w:basedOn w:val="CommentTextChar"/>
    <w:link w:val="CommentSubject"/>
    <w:uiPriority w:val="99"/>
    <w:semiHidden/>
    <w:rsid w:val="009D46FD"/>
    <w:rPr>
      <w:rFonts w:ascii="Arial" w:hAnsi="Arial"/>
      <w:b/>
      <w:bCs/>
      <w:sz w:val="20"/>
      <w:szCs w:val="20"/>
      <w:lang w:val="en-GB"/>
    </w:rPr>
  </w:style>
  <w:style w:type="paragraph" w:styleId="Revision">
    <w:name w:val="Revision"/>
    <w:hidden/>
    <w:uiPriority w:val="99"/>
    <w:semiHidden/>
    <w:rsid w:val="001B6472"/>
    <w:pPr>
      <w:spacing w:after="0" w:line="240" w:lineRule="auto"/>
    </w:pPr>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58"/>
    <w:pPr>
      <w:spacing w:after="120"/>
    </w:pPr>
    <w:rPr>
      <w:rFonts w:ascii="Arial" w:hAnsi="Arial"/>
      <w:lang w:val="en-GB"/>
    </w:rPr>
  </w:style>
  <w:style w:type="paragraph" w:styleId="Heading1">
    <w:name w:val="heading 1"/>
    <w:basedOn w:val="Normal"/>
    <w:next w:val="Normal"/>
    <w:link w:val="Heading1Char"/>
    <w:uiPriority w:val="9"/>
    <w:qFormat/>
    <w:rsid w:val="00C83DAE"/>
    <w:pPr>
      <w:keepNext/>
      <w:keepLines/>
      <w:spacing w:before="12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qFormat/>
    <w:rsid w:val="00551958"/>
    <w:pPr>
      <w:keepNext/>
      <w:spacing w:before="240" w:after="60" w:line="240" w:lineRule="auto"/>
      <w:outlineLvl w:val="1"/>
    </w:pPr>
    <w:rPr>
      <w:rFonts w:eastAsia="MS Mincho" w:cs="Arial"/>
      <w:b/>
      <w:bCs/>
      <w:i/>
      <w:iCs/>
      <w:sz w:val="28"/>
      <w:szCs w:val="28"/>
      <w:lang w:val="lv-LV"/>
    </w:rPr>
  </w:style>
  <w:style w:type="paragraph" w:styleId="Heading3">
    <w:name w:val="heading 3"/>
    <w:basedOn w:val="Normal"/>
    <w:next w:val="Normal"/>
    <w:link w:val="Heading3Char"/>
    <w:uiPriority w:val="9"/>
    <w:semiHidden/>
    <w:unhideWhenUsed/>
    <w:qFormat/>
    <w:rsid w:val="006C71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01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1958"/>
    <w:rPr>
      <w:rFonts w:ascii="Arial" w:eastAsia="MS Mincho" w:hAnsi="Arial" w:cs="Arial"/>
      <w:b/>
      <w:bCs/>
      <w:i/>
      <w:iCs/>
      <w:sz w:val="28"/>
      <w:szCs w:val="28"/>
      <w:lang w:val="lv-LV"/>
    </w:rPr>
  </w:style>
  <w:style w:type="paragraph" w:customStyle="1" w:styleId="StyleHeading1Centered">
    <w:name w:val="Style Heading 1 + Centered"/>
    <w:basedOn w:val="Heading1"/>
    <w:rsid w:val="00551958"/>
    <w:pPr>
      <w:keepLines w:val="0"/>
      <w:spacing w:before="240" w:after="60" w:line="240" w:lineRule="auto"/>
      <w:jc w:val="center"/>
    </w:pPr>
    <w:rPr>
      <w:rFonts w:ascii="Arial" w:eastAsia="MS Mincho" w:hAnsi="Arial" w:cs="Arial"/>
      <w:kern w:val="32"/>
      <w:sz w:val="32"/>
      <w:szCs w:val="32"/>
      <w:lang w:val="lv-LV"/>
    </w:rPr>
  </w:style>
  <w:style w:type="paragraph" w:styleId="ListParagraph">
    <w:name w:val="List Paragraph"/>
    <w:basedOn w:val="Normal"/>
    <w:uiPriority w:val="99"/>
    <w:qFormat/>
    <w:rsid w:val="00551958"/>
    <w:pPr>
      <w:ind w:left="720"/>
      <w:contextualSpacing/>
    </w:pPr>
  </w:style>
  <w:style w:type="character" w:customStyle="1" w:styleId="Heading1Char">
    <w:name w:val="Heading 1 Char"/>
    <w:basedOn w:val="DefaultParagraphFont"/>
    <w:link w:val="Heading1"/>
    <w:uiPriority w:val="9"/>
    <w:rsid w:val="00C83DAE"/>
    <w:rPr>
      <w:rFonts w:asciiTheme="majorHAnsi" w:eastAsiaTheme="majorEastAsia" w:hAnsiTheme="majorHAnsi" w:cstheme="majorBidi"/>
      <w:b/>
      <w:bCs/>
      <w:sz w:val="28"/>
      <w:szCs w:val="28"/>
      <w:lang w:val="en-GB"/>
    </w:rPr>
  </w:style>
  <w:style w:type="paragraph" w:styleId="NoSpacing">
    <w:name w:val="No Spacing"/>
    <w:link w:val="NoSpacingChar"/>
    <w:uiPriority w:val="1"/>
    <w:qFormat/>
    <w:rsid w:val="007D1991"/>
    <w:pPr>
      <w:spacing w:after="0" w:line="240" w:lineRule="auto"/>
    </w:pPr>
    <w:rPr>
      <w:rFonts w:ascii="Arial" w:hAnsi="Arial"/>
      <w:lang w:val="en-GB"/>
    </w:rPr>
  </w:style>
  <w:style w:type="character" w:styleId="Strong">
    <w:name w:val="Strong"/>
    <w:basedOn w:val="DefaultParagraphFont"/>
    <w:uiPriority w:val="22"/>
    <w:qFormat/>
    <w:rsid w:val="009437FB"/>
    <w:rPr>
      <w:b/>
      <w:bCs/>
    </w:rPr>
  </w:style>
  <w:style w:type="paragraph" w:styleId="BalloonText">
    <w:name w:val="Balloon Text"/>
    <w:basedOn w:val="Normal"/>
    <w:link w:val="BalloonTextChar"/>
    <w:uiPriority w:val="99"/>
    <w:semiHidden/>
    <w:unhideWhenUsed/>
    <w:rsid w:val="00816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B78"/>
    <w:rPr>
      <w:rFonts w:ascii="Tahoma" w:hAnsi="Tahoma" w:cs="Tahoma"/>
      <w:sz w:val="16"/>
      <w:szCs w:val="16"/>
      <w:lang w:val="en-GB"/>
    </w:rPr>
  </w:style>
  <w:style w:type="paragraph" w:customStyle="1" w:styleId="Default">
    <w:name w:val="Default"/>
    <w:rsid w:val="00041A29"/>
    <w:pPr>
      <w:autoSpaceDE w:val="0"/>
      <w:autoSpaceDN w:val="0"/>
      <w:adjustRightInd w:val="0"/>
      <w:spacing w:after="0" w:line="240" w:lineRule="auto"/>
    </w:pPr>
    <w:rPr>
      <w:rFonts w:ascii="Arial" w:eastAsia="Times New Roman" w:hAnsi="Arial" w:cs="Arial"/>
      <w:color w:val="000000"/>
      <w:sz w:val="24"/>
      <w:szCs w:val="24"/>
      <w:lang w:eastAsia="de-AT"/>
    </w:rPr>
  </w:style>
  <w:style w:type="paragraph" w:customStyle="1" w:styleId="Listenabsatz1">
    <w:name w:val="Listenabsatz1"/>
    <w:basedOn w:val="Normal"/>
    <w:rsid w:val="00041A29"/>
    <w:pPr>
      <w:numPr>
        <w:numId w:val="10"/>
      </w:numPr>
      <w:spacing w:after="240" w:line="360" w:lineRule="auto"/>
      <w:jc w:val="both"/>
    </w:pPr>
    <w:rPr>
      <w:rFonts w:eastAsia="Times New Roman" w:cs="Arial"/>
      <w:snapToGrid w:val="0"/>
      <w:lang w:val="de-AT"/>
    </w:rPr>
  </w:style>
  <w:style w:type="character" w:styleId="Hyperlink">
    <w:name w:val="Hyperlink"/>
    <w:basedOn w:val="DefaultParagraphFont"/>
    <w:uiPriority w:val="99"/>
    <w:rsid w:val="00041A29"/>
    <w:rPr>
      <w:rFonts w:ascii="Times New Roman" w:hAnsi="Times New Roman" w:cs="Times New Roman"/>
      <w:color w:val="0000FF"/>
      <w:u w:val="single"/>
    </w:rPr>
  </w:style>
  <w:style w:type="paragraph" w:styleId="Caption">
    <w:name w:val="caption"/>
    <w:basedOn w:val="Normal"/>
    <w:next w:val="Normal"/>
    <w:uiPriority w:val="99"/>
    <w:qFormat/>
    <w:rsid w:val="0036547E"/>
    <w:pPr>
      <w:spacing w:after="0" w:line="240" w:lineRule="auto"/>
    </w:pPr>
    <w:rPr>
      <w:rFonts w:ascii="Times New Roman" w:eastAsia="Times New Roman" w:hAnsi="Times New Roman" w:cs="Times New Roman"/>
      <w:b/>
      <w:bCs/>
      <w:sz w:val="20"/>
      <w:szCs w:val="20"/>
      <w:lang w:val="el-GR" w:eastAsia="el-GR"/>
    </w:rPr>
  </w:style>
  <w:style w:type="character" w:styleId="FollowedHyperlink">
    <w:name w:val="FollowedHyperlink"/>
    <w:basedOn w:val="DefaultParagraphFont"/>
    <w:uiPriority w:val="99"/>
    <w:semiHidden/>
    <w:unhideWhenUsed/>
    <w:rsid w:val="00A92FEB"/>
    <w:rPr>
      <w:color w:val="800080" w:themeColor="followedHyperlink"/>
      <w:u w:val="single"/>
    </w:rPr>
  </w:style>
  <w:style w:type="paragraph" w:styleId="FootnoteText">
    <w:name w:val="footnote text"/>
    <w:basedOn w:val="Normal"/>
    <w:link w:val="FootnoteTextChar"/>
    <w:uiPriority w:val="99"/>
    <w:semiHidden/>
    <w:unhideWhenUsed/>
    <w:rsid w:val="001E6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FA1"/>
    <w:rPr>
      <w:rFonts w:ascii="Arial" w:hAnsi="Arial"/>
      <w:sz w:val="20"/>
      <w:szCs w:val="20"/>
      <w:lang w:val="en-GB"/>
    </w:rPr>
  </w:style>
  <w:style w:type="character" w:styleId="FootnoteReference">
    <w:name w:val="footnote reference"/>
    <w:basedOn w:val="DefaultParagraphFont"/>
    <w:uiPriority w:val="99"/>
    <w:semiHidden/>
    <w:unhideWhenUsed/>
    <w:rsid w:val="001E6FA1"/>
    <w:rPr>
      <w:vertAlign w:val="superscript"/>
    </w:rPr>
  </w:style>
  <w:style w:type="paragraph" w:styleId="Header">
    <w:name w:val="header"/>
    <w:basedOn w:val="Normal"/>
    <w:link w:val="HeaderChar"/>
    <w:uiPriority w:val="99"/>
    <w:unhideWhenUsed/>
    <w:rsid w:val="002311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1107"/>
    <w:rPr>
      <w:rFonts w:ascii="Arial" w:hAnsi="Arial"/>
      <w:lang w:val="en-GB"/>
    </w:rPr>
  </w:style>
  <w:style w:type="paragraph" w:styleId="Footer">
    <w:name w:val="footer"/>
    <w:basedOn w:val="Normal"/>
    <w:link w:val="FooterChar"/>
    <w:uiPriority w:val="99"/>
    <w:unhideWhenUsed/>
    <w:rsid w:val="002311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1107"/>
    <w:rPr>
      <w:rFonts w:ascii="Arial" w:hAnsi="Arial"/>
      <w:lang w:val="en-GB"/>
    </w:rPr>
  </w:style>
  <w:style w:type="character" w:customStyle="1" w:styleId="NoSpacingChar">
    <w:name w:val="No Spacing Char"/>
    <w:basedOn w:val="DefaultParagraphFont"/>
    <w:link w:val="NoSpacing"/>
    <w:uiPriority w:val="1"/>
    <w:rsid w:val="00231107"/>
    <w:rPr>
      <w:rFonts w:ascii="Arial" w:hAnsi="Arial"/>
      <w:lang w:val="en-GB"/>
    </w:rPr>
  </w:style>
  <w:style w:type="character" w:customStyle="1" w:styleId="Heading4Char">
    <w:name w:val="Heading 4 Char"/>
    <w:basedOn w:val="DefaultParagraphFont"/>
    <w:link w:val="Heading4"/>
    <w:uiPriority w:val="9"/>
    <w:semiHidden/>
    <w:rsid w:val="00050137"/>
    <w:rPr>
      <w:rFonts w:asciiTheme="majorHAnsi" w:eastAsiaTheme="majorEastAsia" w:hAnsiTheme="majorHAnsi" w:cstheme="majorBidi"/>
      <w:b/>
      <w:bCs/>
      <w:i/>
      <w:iCs/>
      <w:color w:val="4F81BD" w:themeColor="accent1"/>
      <w:lang w:val="en-GB"/>
    </w:rPr>
  </w:style>
  <w:style w:type="character" w:customStyle="1" w:styleId="graph-table-mapsourceChar">
    <w:name w:val="graph-table-map source Char"/>
    <w:link w:val="graph-table-mapsource"/>
    <w:uiPriority w:val="99"/>
    <w:locked/>
    <w:rsid w:val="006B674C"/>
    <w:rPr>
      <w:rFonts w:ascii="Times-Roman" w:hAnsi="Times-Roman" w:cs="Times-Roman"/>
      <w:color w:val="000000"/>
    </w:rPr>
  </w:style>
  <w:style w:type="paragraph" w:customStyle="1" w:styleId="graph-table-mapsource">
    <w:name w:val="graph-table-map source"/>
    <w:basedOn w:val="Normal"/>
    <w:link w:val="graph-table-mapsourceChar"/>
    <w:uiPriority w:val="99"/>
    <w:rsid w:val="006B674C"/>
    <w:pPr>
      <w:widowControl w:val="0"/>
      <w:autoSpaceDE w:val="0"/>
      <w:autoSpaceDN w:val="0"/>
      <w:adjustRightInd w:val="0"/>
      <w:spacing w:after="113" w:line="288" w:lineRule="auto"/>
      <w:jc w:val="both"/>
    </w:pPr>
    <w:rPr>
      <w:rFonts w:ascii="Times-Roman" w:hAnsi="Times-Roman" w:cs="Times-Roman"/>
      <w:color w:val="000000"/>
      <w:lang w:val="de-AT"/>
    </w:rPr>
  </w:style>
  <w:style w:type="paragraph" w:customStyle="1" w:styleId="graph-table-maptitle">
    <w:name w:val="graph-table-map title"/>
    <w:basedOn w:val="Normal"/>
    <w:uiPriority w:val="99"/>
    <w:qFormat/>
    <w:rsid w:val="006B674C"/>
    <w:pPr>
      <w:widowControl w:val="0"/>
      <w:autoSpaceDE w:val="0"/>
      <w:autoSpaceDN w:val="0"/>
      <w:adjustRightInd w:val="0"/>
      <w:spacing w:after="113" w:line="288" w:lineRule="auto"/>
      <w:jc w:val="both"/>
    </w:pPr>
    <w:rPr>
      <w:rFonts w:ascii="Times-Roman" w:eastAsia="Times New Roman" w:hAnsi="Times-Roman" w:cs="Times-Roman"/>
      <w:color w:val="000000"/>
      <w:sz w:val="20"/>
      <w:szCs w:val="20"/>
    </w:rPr>
  </w:style>
  <w:style w:type="paragraph" w:styleId="NormalWeb">
    <w:name w:val="Normal (Web)"/>
    <w:basedOn w:val="Normal"/>
    <w:uiPriority w:val="99"/>
    <w:semiHidden/>
    <w:unhideWhenUsed/>
    <w:rsid w:val="002A0DFE"/>
    <w:pPr>
      <w:spacing w:before="100" w:beforeAutospacing="1" w:after="100" w:afterAutospacing="1" w:line="240" w:lineRule="auto"/>
    </w:pPr>
    <w:rPr>
      <w:rFonts w:ascii="Times New Roman" w:eastAsiaTheme="minorEastAsia" w:hAnsi="Times New Roman" w:cs="Times New Roman"/>
      <w:sz w:val="24"/>
      <w:szCs w:val="24"/>
      <w:lang w:val="de-AT" w:eastAsia="de-AT"/>
    </w:rPr>
  </w:style>
  <w:style w:type="paragraph" w:customStyle="1" w:styleId="BodyText1">
    <w:name w:val="Body Text1"/>
    <w:basedOn w:val="Normal"/>
    <w:uiPriority w:val="99"/>
    <w:qFormat/>
    <w:rsid w:val="00C07F04"/>
    <w:pPr>
      <w:widowControl w:val="0"/>
      <w:autoSpaceDE w:val="0"/>
      <w:autoSpaceDN w:val="0"/>
      <w:adjustRightInd w:val="0"/>
      <w:spacing w:after="113" w:line="236" w:lineRule="atLeast"/>
      <w:jc w:val="both"/>
    </w:pPr>
    <w:rPr>
      <w:rFonts w:ascii="Times" w:eastAsia="Times New Roman" w:hAnsi="Times" w:cs="MinionPro-Regular"/>
      <w:color w:val="000000"/>
      <w:sz w:val="20"/>
      <w:szCs w:val="20"/>
    </w:rPr>
  </w:style>
  <w:style w:type="table" w:styleId="TableGrid">
    <w:name w:val="Table Grid"/>
    <w:basedOn w:val="TableNormal"/>
    <w:uiPriority w:val="59"/>
    <w:rsid w:val="00DE1D0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Justified">
    <w:name w:val="Style Heading 3 + Justified"/>
    <w:basedOn w:val="Heading3"/>
    <w:rsid w:val="006C7190"/>
    <w:pPr>
      <w:keepLines w:val="0"/>
      <w:suppressAutoHyphens/>
      <w:spacing w:before="240" w:after="240" w:line="240" w:lineRule="auto"/>
      <w:jc w:val="both"/>
    </w:pPr>
    <w:rPr>
      <w:rFonts w:ascii="Times New Roman" w:eastAsia="Times New Roman" w:hAnsi="Times New Roman" w:cs="Times New Roman"/>
      <w:bCs w:val="0"/>
      <w:color w:val="auto"/>
      <w:szCs w:val="20"/>
      <w:lang w:val="nb-NO" w:eastAsia="nb-NO"/>
    </w:rPr>
  </w:style>
  <w:style w:type="character" w:customStyle="1" w:styleId="Heading3Char">
    <w:name w:val="Heading 3 Char"/>
    <w:basedOn w:val="DefaultParagraphFont"/>
    <w:link w:val="Heading3"/>
    <w:uiPriority w:val="9"/>
    <w:semiHidden/>
    <w:rsid w:val="006C7190"/>
    <w:rPr>
      <w:rFonts w:asciiTheme="majorHAnsi" w:eastAsiaTheme="majorEastAsia" w:hAnsiTheme="majorHAnsi" w:cstheme="majorBidi"/>
      <w:b/>
      <w:bCs/>
      <w:color w:val="4F81BD" w:themeColor="accent1"/>
      <w:lang w:val="en-GB"/>
    </w:rPr>
  </w:style>
  <w:style w:type="character" w:styleId="CommentReference">
    <w:name w:val="annotation reference"/>
    <w:basedOn w:val="DefaultParagraphFont"/>
    <w:unhideWhenUsed/>
    <w:rsid w:val="009D46FD"/>
    <w:rPr>
      <w:sz w:val="16"/>
      <w:szCs w:val="16"/>
    </w:rPr>
  </w:style>
  <w:style w:type="paragraph" w:styleId="CommentText">
    <w:name w:val="annotation text"/>
    <w:basedOn w:val="Normal"/>
    <w:link w:val="CommentTextChar"/>
    <w:unhideWhenUsed/>
    <w:rsid w:val="009D46FD"/>
    <w:pPr>
      <w:spacing w:line="240" w:lineRule="auto"/>
    </w:pPr>
    <w:rPr>
      <w:sz w:val="20"/>
      <w:szCs w:val="20"/>
    </w:rPr>
  </w:style>
  <w:style w:type="character" w:customStyle="1" w:styleId="CommentTextChar">
    <w:name w:val="Comment Text Char"/>
    <w:basedOn w:val="DefaultParagraphFont"/>
    <w:link w:val="CommentText"/>
    <w:rsid w:val="009D46FD"/>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9D46FD"/>
    <w:rPr>
      <w:b/>
      <w:bCs/>
    </w:rPr>
  </w:style>
  <w:style w:type="character" w:customStyle="1" w:styleId="CommentSubjectChar">
    <w:name w:val="Comment Subject Char"/>
    <w:basedOn w:val="CommentTextChar"/>
    <w:link w:val="CommentSubject"/>
    <w:uiPriority w:val="99"/>
    <w:semiHidden/>
    <w:rsid w:val="009D46FD"/>
    <w:rPr>
      <w:rFonts w:ascii="Arial" w:hAnsi="Arial"/>
      <w:b/>
      <w:bCs/>
      <w:sz w:val="20"/>
      <w:szCs w:val="20"/>
      <w:lang w:val="en-GB"/>
    </w:rPr>
  </w:style>
  <w:style w:type="paragraph" w:styleId="Revision">
    <w:name w:val="Revision"/>
    <w:hidden/>
    <w:uiPriority w:val="99"/>
    <w:semiHidden/>
    <w:rsid w:val="001B6472"/>
    <w:pPr>
      <w:spacing w:after="0" w:line="24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01013">
      <w:bodyDiv w:val="1"/>
      <w:marLeft w:val="0"/>
      <w:marRight w:val="0"/>
      <w:marTop w:val="0"/>
      <w:marBottom w:val="0"/>
      <w:divBdr>
        <w:top w:val="none" w:sz="0" w:space="0" w:color="auto"/>
        <w:left w:val="none" w:sz="0" w:space="0" w:color="auto"/>
        <w:bottom w:val="none" w:sz="0" w:space="0" w:color="auto"/>
        <w:right w:val="none" w:sz="0" w:space="0" w:color="auto"/>
      </w:divBdr>
    </w:div>
    <w:div w:id="534856540">
      <w:bodyDiv w:val="1"/>
      <w:marLeft w:val="0"/>
      <w:marRight w:val="0"/>
      <w:marTop w:val="0"/>
      <w:marBottom w:val="0"/>
      <w:divBdr>
        <w:top w:val="none" w:sz="0" w:space="0" w:color="auto"/>
        <w:left w:val="none" w:sz="0" w:space="0" w:color="auto"/>
        <w:bottom w:val="none" w:sz="0" w:space="0" w:color="auto"/>
        <w:right w:val="none" w:sz="0" w:space="0" w:color="auto"/>
      </w:divBdr>
    </w:div>
    <w:div w:id="818764801">
      <w:bodyDiv w:val="1"/>
      <w:marLeft w:val="0"/>
      <w:marRight w:val="0"/>
      <w:marTop w:val="0"/>
      <w:marBottom w:val="0"/>
      <w:divBdr>
        <w:top w:val="none" w:sz="0" w:space="0" w:color="auto"/>
        <w:left w:val="none" w:sz="0" w:space="0" w:color="auto"/>
        <w:bottom w:val="none" w:sz="0" w:space="0" w:color="auto"/>
        <w:right w:val="none" w:sz="0" w:space="0" w:color="auto"/>
      </w:divBdr>
    </w:div>
    <w:div w:id="885139398">
      <w:bodyDiv w:val="1"/>
      <w:marLeft w:val="0"/>
      <w:marRight w:val="0"/>
      <w:marTop w:val="0"/>
      <w:marBottom w:val="0"/>
      <w:divBdr>
        <w:top w:val="none" w:sz="0" w:space="0" w:color="auto"/>
        <w:left w:val="none" w:sz="0" w:space="0" w:color="auto"/>
        <w:bottom w:val="none" w:sz="0" w:space="0" w:color="auto"/>
        <w:right w:val="none" w:sz="0" w:space="0" w:color="auto"/>
      </w:divBdr>
    </w:div>
    <w:div w:id="892157866">
      <w:bodyDiv w:val="1"/>
      <w:marLeft w:val="0"/>
      <w:marRight w:val="0"/>
      <w:marTop w:val="0"/>
      <w:marBottom w:val="0"/>
      <w:divBdr>
        <w:top w:val="none" w:sz="0" w:space="0" w:color="auto"/>
        <w:left w:val="none" w:sz="0" w:space="0" w:color="auto"/>
        <w:bottom w:val="none" w:sz="0" w:space="0" w:color="auto"/>
        <w:right w:val="none" w:sz="0" w:space="0" w:color="auto"/>
      </w:divBdr>
    </w:div>
    <w:div w:id="946078409">
      <w:bodyDiv w:val="1"/>
      <w:marLeft w:val="0"/>
      <w:marRight w:val="0"/>
      <w:marTop w:val="0"/>
      <w:marBottom w:val="0"/>
      <w:divBdr>
        <w:top w:val="none" w:sz="0" w:space="0" w:color="auto"/>
        <w:left w:val="none" w:sz="0" w:space="0" w:color="auto"/>
        <w:bottom w:val="none" w:sz="0" w:space="0" w:color="auto"/>
        <w:right w:val="none" w:sz="0" w:space="0" w:color="auto"/>
      </w:divBdr>
    </w:div>
    <w:div w:id="1062294271">
      <w:bodyDiv w:val="1"/>
      <w:marLeft w:val="0"/>
      <w:marRight w:val="0"/>
      <w:marTop w:val="0"/>
      <w:marBottom w:val="0"/>
      <w:divBdr>
        <w:top w:val="none" w:sz="0" w:space="0" w:color="auto"/>
        <w:left w:val="none" w:sz="0" w:space="0" w:color="auto"/>
        <w:bottom w:val="none" w:sz="0" w:space="0" w:color="auto"/>
        <w:right w:val="none" w:sz="0" w:space="0" w:color="auto"/>
      </w:divBdr>
    </w:div>
    <w:div w:id="1220632328">
      <w:bodyDiv w:val="1"/>
      <w:marLeft w:val="0"/>
      <w:marRight w:val="0"/>
      <w:marTop w:val="0"/>
      <w:marBottom w:val="0"/>
      <w:divBdr>
        <w:top w:val="none" w:sz="0" w:space="0" w:color="auto"/>
        <w:left w:val="none" w:sz="0" w:space="0" w:color="auto"/>
        <w:bottom w:val="none" w:sz="0" w:space="0" w:color="auto"/>
        <w:right w:val="none" w:sz="0" w:space="0" w:color="auto"/>
      </w:divBdr>
    </w:div>
    <w:div w:id="2050295848">
      <w:bodyDiv w:val="1"/>
      <w:marLeft w:val="0"/>
      <w:marRight w:val="0"/>
      <w:marTop w:val="0"/>
      <w:marBottom w:val="0"/>
      <w:divBdr>
        <w:top w:val="none" w:sz="0" w:space="0" w:color="auto"/>
        <w:left w:val="none" w:sz="0" w:space="0" w:color="auto"/>
        <w:bottom w:val="none" w:sz="0" w:space="0" w:color="auto"/>
        <w:right w:val="none" w:sz="0" w:space="0" w:color="auto"/>
      </w:divBdr>
    </w:div>
    <w:div w:id="210202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ca-res.eu/index.php?id=244"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fao.org/docrep/005/Y3779E/Y3779E00.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diaenvironmentportal.org.in/files/file/Energy%20Sources%20of%20Indian%20Households.pdf"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line.cbs.nl/StatWeb/publication/?VW=T&amp;DM=SLNL&amp;PA=70904ned&amp;D1=56-64&amp;D2=10990&amp;D3=0-6&amp;HD=130123-1504&amp;HDR=T&amp;STB=G1,G2&amp;P=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Microsoft_Word_97_-_2003_Document1.doc"/><Relationship Id="rId23" Type="http://schemas.openxmlformats.org/officeDocument/2006/relationships/footer" Target="footer1.xml"/><Relationship Id="rId10" Type="http://schemas.openxmlformats.org/officeDocument/2006/relationships/hyperlink" Target="http://www.statcan.gc.ca/pub/12-539-x/2009001/administrative-administratives-eng.htm" TargetMode="External"/><Relationship Id="rId19" Type="http://schemas.openxmlformats.org/officeDocument/2006/relationships/hyperlink" Target="http://www.iea-shc.org/common-calculation-method" TargetMode="External"/><Relationship Id="rId4" Type="http://schemas.microsoft.com/office/2007/relationships/stylesWithEffects" Target="stylesWithEffects.xml"/><Relationship Id="rId9" Type="http://schemas.openxmlformats.org/officeDocument/2006/relationships/hyperlink" Target="http://www.statcan.gc.ca/pub/12-539-x/2009001/administrative-administratives-eng.htm" TargetMode="External"/><Relationship Id="rId14" Type="http://schemas.openxmlformats.org/officeDocument/2006/relationships/image" Target="media/image3.emf"/><Relationship Id="rId22" Type="http://schemas.openxmlformats.org/officeDocument/2006/relationships/hyperlink" Target="http://www.statistik.at" TargetMode="External"/><Relationship Id="rId27"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B5E54-B118-407D-9E77-479747F0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24</Pages>
  <Words>9623</Words>
  <Characters>54852</Characters>
  <Application>Microsoft Office Word</Application>
  <DocSecurity>0</DocSecurity>
  <Lines>457</Lines>
  <Paragraphs>128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Statistik Austria</Company>
  <LinksUpToDate>false</LinksUpToDate>
  <CharactersWithSpaces>64347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BITTERMANN Wolfgang</dc:creator>
  <cp:lastModifiedBy>Ralf Becker</cp:lastModifiedBy>
  <cp:revision>165</cp:revision>
  <dcterms:created xsi:type="dcterms:W3CDTF">2014-04-23T02:28:00Z</dcterms:created>
  <dcterms:modified xsi:type="dcterms:W3CDTF">2014-04-23T20:03:00Z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1430012865</vt:i4>
  </property>
  <property fmtid="{D5CDD505-2E9C-101B-9397-08002B2CF9AE}" pid="3" name="_NewReviewCycle">
    <vt:lpwstr/>
  </property>
  <property fmtid="{D5CDD505-2E9C-101B-9397-08002B2CF9AE}" pid="4" name="_EmailSubject">
    <vt:lpwstr>Update on ESCM chapters</vt:lpwstr>
  </property>
  <property fmtid="{D5CDD505-2E9C-101B-9397-08002B2CF9AE}" pid="5" name="_AuthorEmail">
    <vt:lpwstr>Jacqueline.Gravel@a.statcan.gc.ca</vt:lpwstr>
  </property>
  <property fmtid="{D5CDD505-2E9C-101B-9397-08002B2CF9AE}" pid="6" name="_AuthorEmailDisplayName">
    <vt:lpwstr>Gravel, Jacqueline - MED/DFE</vt:lpwstr>
  </property>
  <property fmtid="{D5CDD505-2E9C-101B-9397-08002B2CF9AE}" pid="7" name="_ReviewingToolsShownOnce">
    <vt:lpwstr/>
  </property>
</Properties>
</file>